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B7" w:rsidRPr="008C2381" w:rsidRDefault="00B11005" w:rsidP="00574A1F">
      <w:pPr>
        <w:pStyle w:val="Akapitzlist"/>
        <w:numPr>
          <w:ilvl w:val="0"/>
          <w:numId w:val="8"/>
        </w:numPr>
        <w:rPr>
          <w:b/>
          <w:bCs/>
          <w:sz w:val="36"/>
          <w:szCs w:val="36"/>
        </w:rPr>
      </w:pPr>
      <w:r w:rsidRPr="008C2381">
        <w:rPr>
          <w:rFonts w:asciiTheme="minorHAnsi" w:hAnsiTheme="minorHAnsi" w:cstheme="minorHAnsi"/>
          <w:bCs/>
          <w:sz w:val="36"/>
          <w:szCs w:val="36"/>
        </w:rPr>
        <w:t xml:space="preserve">Komputer stacjonarny. Typu All </w:t>
      </w:r>
      <w:proofErr w:type="spellStart"/>
      <w:r w:rsidRPr="008C2381">
        <w:rPr>
          <w:rFonts w:asciiTheme="minorHAnsi" w:hAnsiTheme="minorHAnsi" w:cstheme="minorHAnsi"/>
          <w:bCs/>
          <w:sz w:val="36"/>
          <w:szCs w:val="36"/>
        </w:rPr>
        <w:t>in</w:t>
      </w:r>
      <w:proofErr w:type="spellEnd"/>
      <w:r w:rsidRPr="008C2381">
        <w:rPr>
          <w:rFonts w:asciiTheme="minorHAnsi" w:hAnsiTheme="minorHAnsi" w:cstheme="minorHAnsi"/>
          <w:bCs/>
          <w:sz w:val="36"/>
          <w:szCs w:val="36"/>
        </w:rPr>
        <w:t xml:space="preserve"> One, komputer fabrycznie wbudowany w obudowę monitora. W ofercie wymagane jest poda</w:t>
      </w:r>
      <w:r w:rsidR="008C2381">
        <w:rPr>
          <w:rFonts w:asciiTheme="minorHAnsi" w:hAnsiTheme="minorHAnsi" w:cstheme="minorHAnsi"/>
          <w:bCs/>
          <w:sz w:val="36"/>
          <w:szCs w:val="36"/>
        </w:rPr>
        <w:t>nie modelu producenta komputera</w:t>
      </w:r>
      <w:r w:rsidRPr="008C2381">
        <w:rPr>
          <w:rFonts w:asciiTheme="minorHAnsi" w:hAnsiTheme="minorHAnsi" w:cstheme="minorHAnsi"/>
          <w:bCs/>
          <w:sz w:val="36"/>
          <w:szCs w:val="36"/>
        </w:rPr>
        <w:t xml:space="preserve"> - </w:t>
      </w:r>
      <w:r w:rsidRPr="008C2381">
        <w:rPr>
          <w:b/>
          <w:bCs/>
          <w:sz w:val="36"/>
          <w:szCs w:val="36"/>
        </w:rPr>
        <w:t>2</w:t>
      </w:r>
      <w:r w:rsidR="00B637B7" w:rsidRPr="008C2381">
        <w:rPr>
          <w:b/>
          <w:bCs/>
          <w:sz w:val="36"/>
          <w:szCs w:val="36"/>
        </w:rPr>
        <w:t xml:space="preserve"> szt.</w:t>
      </w:r>
    </w:p>
    <w:p w:rsidR="008C2381" w:rsidRDefault="008C2381" w:rsidP="008C2381">
      <w:pPr>
        <w:rPr>
          <w:b/>
          <w:bCs/>
          <w:sz w:val="28"/>
          <w:szCs w:val="32"/>
        </w:rPr>
      </w:pPr>
    </w:p>
    <w:p w:rsidR="008C2381" w:rsidRPr="009771C7" w:rsidRDefault="008C2381" w:rsidP="008C2381">
      <w:pPr>
        <w:jc w:val="both"/>
        <w:rPr>
          <w:rFonts w:asciiTheme="minorHAnsi" w:hAnsiTheme="minorHAnsi" w:cstheme="minorHAnsi"/>
          <w:bCs/>
          <w:sz w:val="20"/>
        </w:rPr>
      </w:pPr>
    </w:p>
    <w:tbl>
      <w:tblPr>
        <w:tblW w:w="5801" w:type="pct"/>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834"/>
        <w:gridCol w:w="2679"/>
        <w:gridCol w:w="6511"/>
      </w:tblGrid>
      <w:tr w:rsidR="008C2381" w:rsidRPr="009771C7" w:rsidTr="002A1DBD">
        <w:trPr>
          <w:trHeight w:val="733"/>
        </w:trPr>
        <w:tc>
          <w:tcPr>
            <w:tcW w:w="832" w:type="pct"/>
            <w:shd w:val="clear" w:color="auto" w:fill="00B050"/>
            <w:vAlign w:val="center"/>
          </w:tcPr>
          <w:p w:rsidR="008C2381" w:rsidRPr="009771C7" w:rsidRDefault="008C2381" w:rsidP="002A1DBD">
            <w:pPr>
              <w:jc w:val="center"/>
              <w:rPr>
                <w:rFonts w:asciiTheme="minorHAnsi" w:hAnsiTheme="minorHAnsi" w:cstheme="minorHAnsi"/>
                <w:bCs/>
                <w:sz w:val="20"/>
              </w:rPr>
            </w:pPr>
            <w:r w:rsidRPr="009771C7">
              <w:rPr>
                <w:rFonts w:asciiTheme="minorHAnsi" w:hAnsiTheme="minorHAnsi" w:cstheme="minorHAnsi"/>
                <w:bCs/>
                <w:sz w:val="20"/>
              </w:rPr>
              <w:t xml:space="preserve">Nazwa </w:t>
            </w:r>
          </w:p>
        </w:tc>
        <w:tc>
          <w:tcPr>
            <w:tcW w:w="4168" w:type="pct"/>
            <w:gridSpan w:val="2"/>
            <w:shd w:val="clear" w:color="auto" w:fill="00B050"/>
            <w:vAlign w:val="center"/>
          </w:tcPr>
          <w:p w:rsidR="008C2381" w:rsidRPr="009771C7" w:rsidRDefault="008C2381" w:rsidP="002A1DBD">
            <w:pPr>
              <w:ind w:left="-71"/>
              <w:jc w:val="center"/>
              <w:rPr>
                <w:rFonts w:asciiTheme="minorHAnsi" w:hAnsiTheme="minorHAnsi" w:cstheme="minorHAnsi"/>
                <w:bCs/>
                <w:sz w:val="20"/>
              </w:rPr>
            </w:pPr>
            <w:r w:rsidRPr="009771C7">
              <w:rPr>
                <w:rFonts w:asciiTheme="minorHAnsi" w:hAnsiTheme="minorHAnsi" w:cstheme="minorHAnsi"/>
                <w:bCs/>
                <w:sz w:val="20"/>
              </w:rPr>
              <w:t xml:space="preserve">Wymagane minimalne parametry techniczne </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Typ</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Komputer stacjonarny. Typu All </w:t>
            </w:r>
            <w:proofErr w:type="spellStart"/>
            <w:r w:rsidRPr="009771C7">
              <w:rPr>
                <w:rFonts w:asciiTheme="minorHAnsi" w:hAnsiTheme="minorHAnsi" w:cstheme="minorHAnsi"/>
                <w:bCs/>
                <w:sz w:val="20"/>
              </w:rPr>
              <w:t>in</w:t>
            </w:r>
            <w:proofErr w:type="spellEnd"/>
            <w:r w:rsidRPr="009771C7">
              <w:rPr>
                <w:rFonts w:asciiTheme="minorHAnsi" w:hAnsiTheme="minorHAnsi" w:cstheme="minorHAnsi"/>
                <w:bCs/>
                <w:sz w:val="20"/>
              </w:rPr>
              <w:t xml:space="preserve"> One, komputer fabrycznie wbudowany w obudowę monitora. W ofercie wymagane jest podanie modelu producenta komputera.</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Zastosowanie</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Komputer będzie wykorzystywany dla potrzeb aplikacji biurowych, aplikacji edukacyjnych, aplikacji obliczeniowych, dostępu do Internetu oraz poczty elektronicznej, jako lokalna baza danych, stacja programistyczna</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Wydajność obliczeniowa</w:t>
            </w:r>
          </w:p>
        </w:tc>
        <w:tc>
          <w:tcPr>
            <w:tcW w:w="4168" w:type="pct"/>
            <w:gridSpan w:val="2"/>
          </w:tcPr>
          <w:p w:rsidR="008C2381" w:rsidRPr="009771C7" w:rsidRDefault="008C2381" w:rsidP="002A1DBD">
            <w:pPr>
              <w:jc w:val="both"/>
              <w:rPr>
                <w:rFonts w:asciiTheme="minorHAnsi" w:hAnsiTheme="minorHAnsi" w:cstheme="minorHAnsi"/>
                <w:bCs/>
                <w:sz w:val="20"/>
                <w:lang w:eastAsia="en-US"/>
              </w:rPr>
            </w:pPr>
            <w:r w:rsidRPr="009771C7">
              <w:rPr>
                <w:rFonts w:asciiTheme="minorHAnsi" w:hAnsiTheme="minorHAnsi" w:cstheme="minorHAnsi"/>
                <w:bCs/>
                <w:sz w:val="20"/>
                <w:lang w:eastAsia="en-US"/>
              </w:rPr>
              <w:t>Komputer w oferowanej konfiguracji musi osiągać w teście wydajnościowym BAPCO  wyniki nie gorsze niż:</w:t>
            </w:r>
          </w:p>
          <w:p w:rsidR="008C2381" w:rsidRPr="009771C7" w:rsidRDefault="008C2381" w:rsidP="002A1DBD">
            <w:pPr>
              <w:jc w:val="both"/>
              <w:rPr>
                <w:rFonts w:asciiTheme="minorHAnsi" w:hAnsiTheme="minorHAnsi" w:cstheme="minorHAnsi"/>
                <w:bCs/>
                <w:sz w:val="20"/>
              </w:rPr>
            </w:pPr>
            <w:proofErr w:type="spellStart"/>
            <w:r w:rsidRPr="009771C7">
              <w:rPr>
                <w:rFonts w:asciiTheme="minorHAnsi" w:hAnsiTheme="minorHAnsi" w:cstheme="minorHAnsi"/>
                <w:bCs/>
                <w:sz w:val="20"/>
              </w:rPr>
              <w:t>SYSmark</w:t>
            </w:r>
            <w:proofErr w:type="spellEnd"/>
            <w:r w:rsidRPr="009771C7">
              <w:rPr>
                <w:rFonts w:asciiTheme="minorHAnsi" w:hAnsiTheme="minorHAnsi" w:cstheme="minorHAnsi"/>
                <w:bCs/>
                <w:sz w:val="20"/>
              </w:rPr>
              <w:t xml:space="preserve"> 25 </w:t>
            </w:r>
            <w:proofErr w:type="spellStart"/>
            <w:r w:rsidRPr="009771C7">
              <w:rPr>
                <w:rFonts w:asciiTheme="minorHAnsi" w:hAnsiTheme="minorHAnsi" w:cstheme="minorHAnsi"/>
                <w:bCs/>
                <w:sz w:val="20"/>
              </w:rPr>
              <w:t>Overall</w:t>
            </w:r>
            <w:proofErr w:type="spellEnd"/>
            <w:r w:rsidRPr="009771C7">
              <w:rPr>
                <w:rFonts w:asciiTheme="minorHAnsi" w:hAnsiTheme="minorHAnsi" w:cstheme="minorHAnsi"/>
                <w:bCs/>
                <w:sz w:val="20"/>
              </w:rPr>
              <w:t xml:space="preserve"> </w:t>
            </w:r>
            <w:proofErr w:type="spellStart"/>
            <w:r w:rsidRPr="009771C7">
              <w:rPr>
                <w:rFonts w:asciiTheme="minorHAnsi" w:hAnsiTheme="minorHAnsi" w:cstheme="minorHAnsi"/>
                <w:bCs/>
                <w:sz w:val="20"/>
              </w:rPr>
              <w:t>Rating</w:t>
            </w:r>
            <w:proofErr w:type="spellEnd"/>
            <w:r w:rsidRPr="009771C7">
              <w:rPr>
                <w:rFonts w:asciiTheme="minorHAnsi" w:hAnsiTheme="minorHAnsi" w:cstheme="minorHAnsi"/>
                <w:bCs/>
                <w:sz w:val="20"/>
              </w:rPr>
              <w:t xml:space="preserve"> – co najmniej wynik </w:t>
            </w:r>
            <w:r>
              <w:rPr>
                <w:rFonts w:asciiTheme="minorHAnsi" w:hAnsiTheme="minorHAnsi" w:cstheme="minorHAnsi"/>
                <w:bCs/>
                <w:sz w:val="20"/>
              </w:rPr>
              <w:t>1500</w:t>
            </w:r>
            <w:r w:rsidRPr="009771C7">
              <w:rPr>
                <w:rFonts w:asciiTheme="minorHAnsi" w:hAnsiTheme="minorHAnsi" w:cstheme="minorHAnsi"/>
                <w:bCs/>
                <w:sz w:val="20"/>
              </w:rPr>
              <w:t xml:space="preserve"> punktów</w:t>
            </w:r>
          </w:p>
          <w:p w:rsidR="008C2381" w:rsidRPr="009771C7" w:rsidRDefault="008C2381" w:rsidP="002A1DBD">
            <w:pPr>
              <w:jc w:val="both"/>
              <w:rPr>
                <w:rFonts w:asciiTheme="minorHAnsi" w:hAnsiTheme="minorHAnsi" w:cstheme="minorHAnsi"/>
                <w:bCs/>
                <w:sz w:val="20"/>
                <w:lang w:eastAsia="en-US"/>
              </w:rPr>
            </w:pPr>
            <w:r w:rsidRPr="009771C7">
              <w:rPr>
                <w:rFonts w:asciiTheme="minorHAnsi" w:hAnsiTheme="minorHAnsi" w:cstheme="minorHAnsi"/>
                <w:bCs/>
                <w:sz w:val="20"/>
                <w:lang w:eastAsia="en-US"/>
              </w:rPr>
              <w:t>Dokumentem potwierdzającym spełnianie ww. wymagań będzie dołączony do oferty wydruk raportu z oprogramowania testującego, potwierdzony za zgodność z oryginałem przez Wykonawcę.</w:t>
            </w:r>
          </w:p>
          <w:p w:rsidR="008C2381" w:rsidRPr="009771C7" w:rsidRDefault="008C2381" w:rsidP="002A1DBD">
            <w:pPr>
              <w:jc w:val="both"/>
              <w:rPr>
                <w:rFonts w:asciiTheme="minorHAnsi" w:hAnsiTheme="minorHAnsi" w:cstheme="minorHAnsi"/>
                <w:bCs/>
                <w:sz w:val="20"/>
                <w:lang w:eastAsia="en-US"/>
              </w:rPr>
            </w:pPr>
            <w:r w:rsidRPr="009771C7">
              <w:rPr>
                <w:rFonts w:asciiTheme="minorHAnsi" w:hAnsiTheme="minorHAnsi" w:cstheme="minorHAnsi"/>
                <w:bCs/>
                <w:sz w:val="20"/>
                <w:lang w:eastAsia="en-US"/>
              </w:rPr>
              <w:t xml:space="preserve">Wymagane testy wydajnościowe wykonawca musi przeprowadzić na automatycznych ustawieniach </w:t>
            </w:r>
            <w:proofErr w:type="spellStart"/>
            <w:r w:rsidRPr="009771C7">
              <w:rPr>
                <w:rFonts w:asciiTheme="minorHAnsi" w:hAnsiTheme="minorHAnsi" w:cstheme="minorHAnsi"/>
                <w:bCs/>
                <w:sz w:val="20"/>
                <w:lang w:eastAsia="en-US"/>
              </w:rPr>
              <w:t>konfiguratora</w:t>
            </w:r>
            <w:proofErr w:type="spellEnd"/>
            <w:r w:rsidRPr="009771C7">
              <w:rPr>
                <w:rFonts w:asciiTheme="minorHAnsi" w:hAnsiTheme="minorHAnsi" w:cstheme="minorHAnsi"/>
                <w:bCs/>
                <w:sz w:val="20"/>
                <w:lang w:eastAsia="en-US"/>
              </w:rPr>
              <w:t xml:space="preserve"> dołączonego przez firmę BAPCO i przy natywnej rozdzielczości wyświetlacza oraz włączonych wszystkich </w:t>
            </w:r>
            <w:proofErr w:type="spellStart"/>
            <w:r w:rsidRPr="009771C7">
              <w:rPr>
                <w:rFonts w:asciiTheme="minorHAnsi" w:hAnsiTheme="minorHAnsi" w:cstheme="minorHAnsi"/>
                <w:bCs/>
                <w:sz w:val="20"/>
                <w:lang w:eastAsia="en-US"/>
              </w:rPr>
              <w:t>urządzaniach</w:t>
            </w:r>
            <w:proofErr w:type="spellEnd"/>
            <w:r w:rsidRPr="009771C7">
              <w:rPr>
                <w:rFonts w:asciiTheme="minorHAnsi" w:hAnsiTheme="minorHAnsi" w:cstheme="minorHAnsi"/>
                <w:bCs/>
                <w:sz w:val="20"/>
                <w:lang w:eastAsia="en-US"/>
              </w:rPr>
              <w:t xml:space="preserve">. Nie dopuszcza się stosowanie </w:t>
            </w:r>
            <w:proofErr w:type="spellStart"/>
            <w:r w:rsidRPr="009771C7">
              <w:rPr>
                <w:rFonts w:asciiTheme="minorHAnsi" w:hAnsiTheme="minorHAnsi" w:cstheme="minorHAnsi"/>
                <w:bCs/>
                <w:sz w:val="20"/>
                <w:lang w:eastAsia="en-US"/>
              </w:rPr>
              <w:t>overclokingu</w:t>
            </w:r>
            <w:proofErr w:type="spellEnd"/>
            <w:r w:rsidRPr="009771C7">
              <w:rPr>
                <w:rFonts w:asciiTheme="minorHAnsi" w:hAnsiTheme="minorHAnsi" w:cstheme="minorHAnsi"/>
                <w:bCs/>
                <w:sz w:val="20"/>
                <w:lang w:eastAsia="en-US"/>
              </w:rPr>
              <w:t xml:space="preserve">,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 </w:t>
            </w:r>
          </w:p>
          <w:p w:rsidR="008C2381" w:rsidRPr="009771C7" w:rsidRDefault="008C2381" w:rsidP="002A1DBD">
            <w:pPr>
              <w:jc w:val="both"/>
              <w:rPr>
                <w:rFonts w:asciiTheme="minorHAnsi" w:hAnsiTheme="minorHAnsi" w:cstheme="minorHAnsi"/>
                <w:bCs/>
                <w:sz w:val="20"/>
                <w:lang w:eastAsia="en-US"/>
              </w:rPr>
            </w:pPr>
            <w:r w:rsidRPr="009771C7">
              <w:rPr>
                <w:rFonts w:asciiTheme="minorHAnsi" w:hAnsiTheme="minorHAnsi" w:cstheme="minorHAnsi"/>
                <w:bCs/>
                <w:sz w:val="20"/>
                <w:lang w:eastAsia="en-US"/>
              </w:rPr>
              <w:t>Zamawiający zastrzega sobie, iż w celu sprawdzenia poprawności przeprowadzenia testu Oferent może zostać wezwany do dostarczenia Zamawiającemu oprogramowania testującego, komputera do testów oraz dokładnego opisu metodyki przeprowadzonego testu wraz z wynikami w celu ich sprawdzenia w terminie nie dłuższym niż 3 dni od otrzymania zawiadomienia od Zamawiającego</w:t>
            </w:r>
            <w:r>
              <w:rPr>
                <w:rFonts w:asciiTheme="minorHAnsi" w:hAnsiTheme="minorHAnsi" w:cstheme="minorHAnsi"/>
                <w:bCs/>
                <w:sz w:val="20"/>
                <w:lang w:eastAsia="en-US"/>
              </w:rPr>
              <w:t>.</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Pamięć RAM</w:t>
            </w:r>
          </w:p>
        </w:tc>
        <w:tc>
          <w:tcPr>
            <w:tcW w:w="4168" w:type="pct"/>
            <w:gridSpan w:val="2"/>
          </w:tcPr>
          <w:p w:rsidR="008C2381" w:rsidRPr="009771C7" w:rsidRDefault="008C2381" w:rsidP="002A1DBD">
            <w:pPr>
              <w:jc w:val="both"/>
              <w:rPr>
                <w:rFonts w:asciiTheme="minorHAnsi" w:hAnsiTheme="minorHAnsi" w:cstheme="minorHAnsi"/>
                <w:bCs/>
                <w:sz w:val="20"/>
              </w:rPr>
            </w:pPr>
            <w:r>
              <w:rPr>
                <w:rFonts w:asciiTheme="minorHAnsi" w:hAnsiTheme="minorHAnsi" w:cstheme="minorHAnsi"/>
                <w:bCs/>
                <w:sz w:val="20"/>
              </w:rPr>
              <w:t>16</w:t>
            </w:r>
            <w:r w:rsidRPr="009771C7">
              <w:rPr>
                <w:rFonts w:asciiTheme="minorHAnsi" w:hAnsiTheme="minorHAnsi" w:cstheme="minorHAnsi"/>
                <w:bCs/>
                <w:sz w:val="20"/>
              </w:rPr>
              <w:t xml:space="preserve">GB DDR4 możliwość rozbudowy do </w:t>
            </w:r>
            <w:r>
              <w:rPr>
                <w:rFonts w:asciiTheme="minorHAnsi" w:hAnsiTheme="minorHAnsi" w:cstheme="minorHAnsi"/>
                <w:bCs/>
                <w:sz w:val="20"/>
              </w:rPr>
              <w:t>32</w:t>
            </w:r>
            <w:r w:rsidRPr="009771C7">
              <w:rPr>
                <w:rFonts w:asciiTheme="minorHAnsi" w:hAnsiTheme="minorHAnsi" w:cstheme="minorHAnsi"/>
                <w:bCs/>
                <w:sz w:val="20"/>
              </w:rPr>
              <w:t>GB RAM.</w:t>
            </w:r>
          </w:p>
          <w:p w:rsidR="008C2381" w:rsidRPr="009771C7" w:rsidRDefault="008C2381" w:rsidP="002A1DBD">
            <w:pPr>
              <w:jc w:val="both"/>
              <w:rPr>
                <w:rFonts w:asciiTheme="minorHAnsi" w:hAnsiTheme="minorHAnsi" w:cstheme="minorHAnsi"/>
                <w:bCs/>
                <w:sz w:val="20"/>
              </w:rPr>
            </w:pP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Pamięć masowa</w:t>
            </w:r>
          </w:p>
        </w:tc>
        <w:tc>
          <w:tcPr>
            <w:tcW w:w="4168" w:type="pct"/>
            <w:gridSpan w:val="2"/>
          </w:tcPr>
          <w:p w:rsidR="008C2381" w:rsidRPr="009771C7" w:rsidRDefault="008C2381" w:rsidP="002A1DBD">
            <w:pPr>
              <w:jc w:val="both"/>
              <w:rPr>
                <w:rFonts w:asciiTheme="minorHAnsi" w:hAnsiTheme="minorHAnsi" w:cstheme="minorHAnsi"/>
                <w:bCs/>
                <w:sz w:val="20"/>
                <w:lang w:val="sv-SE" w:eastAsia="en-US"/>
              </w:rPr>
            </w:pPr>
            <w:r>
              <w:rPr>
                <w:rFonts w:asciiTheme="minorHAnsi" w:hAnsiTheme="minorHAnsi" w:cstheme="minorHAnsi"/>
                <w:bCs/>
                <w:sz w:val="20"/>
                <w:lang w:val="sv-SE" w:eastAsia="en-US"/>
              </w:rPr>
              <w:t>256</w:t>
            </w:r>
            <w:r w:rsidRPr="009771C7">
              <w:rPr>
                <w:rFonts w:asciiTheme="minorHAnsi" w:hAnsiTheme="minorHAnsi" w:cstheme="minorHAnsi"/>
                <w:bCs/>
                <w:sz w:val="20"/>
                <w:lang w:val="sv-SE" w:eastAsia="en-US"/>
              </w:rPr>
              <w:t>GB SSD</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lang w:eastAsia="en-US"/>
              </w:rPr>
              <w:t>Możliwość instalacji dodatkowego dysku twardego M.2 lub 2.5</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Wydajność grafiki</w:t>
            </w:r>
          </w:p>
        </w:tc>
        <w:tc>
          <w:tcPr>
            <w:tcW w:w="4168" w:type="pct"/>
            <w:gridSpan w:val="2"/>
          </w:tcPr>
          <w:p w:rsidR="008C2381" w:rsidRPr="009771C7" w:rsidRDefault="008C2381" w:rsidP="002A1DBD">
            <w:pPr>
              <w:jc w:val="both"/>
              <w:rPr>
                <w:rFonts w:asciiTheme="minorHAnsi" w:hAnsiTheme="minorHAnsi" w:cstheme="minorHAnsi"/>
                <w:bCs/>
                <w:sz w:val="20"/>
                <w:lang w:eastAsia="en-US"/>
              </w:rPr>
            </w:pPr>
            <w:r w:rsidRPr="009771C7">
              <w:rPr>
                <w:rFonts w:asciiTheme="minorHAnsi" w:hAnsiTheme="minorHAnsi" w:cstheme="minorHAnsi"/>
                <w:bCs/>
                <w:sz w:val="20"/>
                <w:lang w:eastAsia="en-US"/>
              </w:rPr>
              <w:t xml:space="preserve">Grafika zintegrowana z procesorem powinna umożliwiać pracę min. dwumonitorową, współdzielona i dynamicznie przydzielana pamięć z RAM, </w:t>
            </w:r>
          </w:p>
          <w:p w:rsidR="008C2381" w:rsidRPr="009771C7" w:rsidRDefault="008C2381" w:rsidP="002A1DBD">
            <w:pPr>
              <w:jc w:val="both"/>
              <w:rPr>
                <w:rFonts w:asciiTheme="minorHAnsi" w:hAnsiTheme="minorHAnsi" w:cstheme="minorHAnsi"/>
                <w:bCs/>
                <w:sz w:val="20"/>
                <w:u w:val="single"/>
              </w:rPr>
            </w:pPr>
            <w:r w:rsidRPr="009771C7">
              <w:rPr>
                <w:rFonts w:asciiTheme="minorHAnsi" w:hAnsiTheme="minorHAnsi" w:cstheme="minorHAnsi"/>
                <w:bCs/>
                <w:sz w:val="20"/>
                <w:lang w:eastAsia="en-US"/>
              </w:rPr>
              <w:t>K</w:t>
            </w:r>
            <w:r w:rsidRPr="009771C7">
              <w:rPr>
                <w:rFonts w:asciiTheme="minorHAnsi" w:hAnsiTheme="minorHAnsi" w:cstheme="minorHAnsi"/>
                <w:bCs/>
                <w:sz w:val="20"/>
              </w:rPr>
              <w:t xml:space="preserve">arta </w:t>
            </w:r>
            <w:r w:rsidRPr="009771C7">
              <w:rPr>
                <w:rFonts w:asciiTheme="minorHAnsi" w:hAnsiTheme="minorHAnsi" w:cstheme="minorHAnsi"/>
                <w:bCs/>
                <w:sz w:val="20"/>
                <w:lang w:eastAsia="en-US"/>
              </w:rPr>
              <w:t>os</w:t>
            </w:r>
            <w:r w:rsidRPr="009771C7">
              <w:rPr>
                <w:rFonts w:asciiTheme="minorHAnsi" w:hAnsiTheme="minorHAnsi" w:cstheme="minorHAnsi"/>
                <w:bCs/>
                <w:sz w:val="20"/>
              </w:rPr>
              <w:t>i</w:t>
            </w:r>
            <w:r w:rsidRPr="009771C7">
              <w:rPr>
                <w:rFonts w:asciiTheme="minorHAnsi" w:hAnsiTheme="minorHAnsi" w:cstheme="minorHAnsi"/>
                <w:bCs/>
                <w:sz w:val="20"/>
                <w:lang w:eastAsia="en-US"/>
              </w:rPr>
              <w:t xml:space="preserve">ągająca w teście </w:t>
            </w:r>
            <w:r>
              <w:rPr>
                <w:rFonts w:asciiTheme="minorHAnsi" w:hAnsiTheme="minorHAnsi" w:cstheme="minorHAnsi"/>
                <w:bCs/>
                <w:sz w:val="20"/>
                <w:lang w:eastAsia="en-US"/>
              </w:rPr>
              <w:t xml:space="preserve">PC Mark 10 </w:t>
            </w:r>
            <w:r w:rsidRPr="009A1B6C">
              <w:rPr>
                <w:rFonts w:asciiTheme="minorHAnsi" w:hAnsiTheme="minorHAnsi" w:cstheme="minorHAnsi"/>
                <w:bCs/>
                <w:sz w:val="20"/>
                <w:lang w:eastAsia="en-US"/>
              </w:rPr>
              <w:t xml:space="preserve">Digital </w:t>
            </w:r>
            <w:proofErr w:type="spellStart"/>
            <w:r w:rsidRPr="009A1B6C">
              <w:rPr>
                <w:rFonts w:asciiTheme="minorHAnsi" w:hAnsiTheme="minorHAnsi" w:cstheme="minorHAnsi"/>
                <w:bCs/>
                <w:sz w:val="20"/>
                <w:lang w:eastAsia="en-US"/>
              </w:rPr>
              <w:t>Content</w:t>
            </w:r>
            <w:proofErr w:type="spellEnd"/>
            <w:r w:rsidRPr="009A1B6C">
              <w:rPr>
                <w:rFonts w:asciiTheme="minorHAnsi" w:hAnsiTheme="minorHAnsi" w:cstheme="minorHAnsi"/>
                <w:bCs/>
                <w:sz w:val="20"/>
                <w:lang w:eastAsia="en-US"/>
              </w:rPr>
              <w:t xml:space="preserve"> </w:t>
            </w:r>
            <w:proofErr w:type="spellStart"/>
            <w:r w:rsidRPr="009A1B6C">
              <w:rPr>
                <w:rFonts w:asciiTheme="minorHAnsi" w:hAnsiTheme="minorHAnsi" w:cstheme="minorHAnsi"/>
                <w:bCs/>
                <w:sz w:val="20"/>
                <w:lang w:eastAsia="en-US"/>
              </w:rPr>
              <w:t>Creation</w:t>
            </w:r>
            <w:proofErr w:type="spellEnd"/>
            <w:r>
              <w:rPr>
                <w:rFonts w:asciiTheme="minorHAnsi" w:hAnsiTheme="minorHAnsi" w:cstheme="minorHAnsi"/>
                <w:bCs/>
                <w:sz w:val="20"/>
                <w:lang w:eastAsia="en-US"/>
              </w:rPr>
              <w:t xml:space="preserve"> </w:t>
            </w:r>
            <w:r w:rsidRPr="009771C7">
              <w:rPr>
                <w:rFonts w:asciiTheme="minorHAnsi" w:hAnsiTheme="minorHAnsi" w:cstheme="minorHAnsi"/>
                <w:bCs/>
                <w:sz w:val="20"/>
                <w:lang w:eastAsia="en-US"/>
              </w:rPr>
              <w:t xml:space="preserve">wynik min. </w:t>
            </w:r>
            <w:r>
              <w:rPr>
                <w:rFonts w:asciiTheme="minorHAnsi" w:hAnsiTheme="minorHAnsi" w:cstheme="minorHAnsi"/>
                <w:bCs/>
                <w:sz w:val="20"/>
                <w:lang w:eastAsia="en-US"/>
              </w:rPr>
              <w:t>4000</w:t>
            </w:r>
            <w:r w:rsidRPr="009771C7">
              <w:rPr>
                <w:rFonts w:asciiTheme="minorHAnsi" w:hAnsiTheme="minorHAnsi" w:cstheme="minorHAnsi"/>
                <w:bCs/>
                <w:sz w:val="20"/>
                <w:lang w:eastAsia="en-US"/>
              </w:rPr>
              <w:t xml:space="preserve"> punktów </w:t>
            </w:r>
            <w:r>
              <w:rPr>
                <w:rFonts w:asciiTheme="minorHAnsi" w:hAnsiTheme="minorHAnsi" w:cstheme="minorHAnsi"/>
                <w:bCs/>
                <w:sz w:val="20"/>
                <w:lang w:eastAsia="en-US"/>
              </w:rPr>
              <w:t>– wynik załączyć do oferty.</w:t>
            </w:r>
          </w:p>
        </w:tc>
      </w:tr>
      <w:tr w:rsidR="008C2381" w:rsidRPr="009771C7" w:rsidTr="002A1DBD">
        <w:trPr>
          <w:trHeight w:val="204"/>
        </w:trPr>
        <w:tc>
          <w:tcPr>
            <w:tcW w:w="832" w:type="pct"/>
            <w:vMerge w:val="restar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Matryca</w:t>
            </w: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Rozmiar matrycy / plamki</w:t>
            </w:r>
          </w:p>
        </w:tc>
        <w:tc>
          <w:tcPr>
            <w:tcW w:w="2953"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min.23,8” / </w:t>
            </w:r>
            <w:proofErr w:type="spellStart"/>
            <w:r w:rsidRPr="009771C7">
              <w:rPr>
                <w:rFonts w:asciiTheme="minorHAnsi" w:hAnsiTheme="minorHAnsi" w:cstheme="minorHAnsi"/>
                <w:bCs/>
                <w:sz w:val="20"/>
              </w:rPr>
              <w:t>max</w:t>
            </w:r>
            <w:proofErr w:type="spellEnd"/>
            <w:r w:rsidRPr="009771C7">
              <w:rPr>
                <w:rFonts w:asciiTheme="minorHAnsi" w:hAnsiTheme="minorHAnsi" w:cstheme="minorHAnsi"/>
                <w:bCs/>
                <w:sz w:val="20"/>
              </w:rPr>
              <w:t xml:space="preserve">. 0,275mm </w:t>
            </w:r>
          </w:p>
        </w:tc>
      </w:tr>
      <w:tr w:rsidR="008C2381" w:rsidRPr="009771C7" w:rsidTr="002A1DBD">
        <w:trPr>
          <w:trHeight w:val="255"/>
        </w:trPr>
        <w:tc>
          <w:tcPr>
            <w:tcW w:w="832" w:type="pct"/>
            <w:vMerge/>
            <w:shd w:val="clear" w:color="auto" w:fill="F2F2F2" w:themeFill="background1" w:themeFillShade="F2"/>
          </w:tcPr>
          <w:p w:rsidR="008C2381" w:rsidRPr="009771C7" w:rsidRDefault="008C2381" w:rsidP="002A1DBD">
            <w:pPr>
              <w:jc w:val="both"/>
              <w:rPr>
                <w:rFonts w:asciiTheme="minorHAnsi" w:hAnsiTheme="minorHAnsi" w:cstheme="minorHAnsi"/>
                <w:bCs/>
                <w:sz w:val="20"/>
              </w:rPr>
            </w:pP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Rozdzielczość</w:t>
            </w:r>
          </w:p>
        </w:tc>
        <w:tc>
          <w:tcPr>
            <w:tcW w:w="2953"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FHD (1920x1080)</w:t>
            </w:r>
          </w:p>
        </w:tc>
      </w:tr>
      <w:tr w:rsidR="008C2381" w:rsidRPr="009771C7" w:rsidTr="002A1DBD">
        <w:trPr>
          <w:trHeight w:val="250"/>
        </w:trPr>
        <w:tc>
          <w:tcPr>
            <w:tcW w:w="832" w:type="pct"/>
            <w:vMerge/>
            <w:shd w:val="clear" w:color="auto" w:fill="F2F2F2" w:themeFill="background1" w:themeFillShade="F2"/>
          </w:tcPr>
          <w:p w:rsidR="008C2381" w:rsidRPr="009771C7" w:rsidRDefault="008C2381" w:rsidP="002A1DBD">
            <w:pPr>
              <w:jc w:val="both"/>
              <w:rPr>
                <w:rFonts w:asciiTheme="minorHAnsi" w:hAnsiTheme="minorHAnsi" w:cstheme="minorHAnsi"/>
                <w:bCs/>
                <w:sz w:val="20"/>
              </w:rPr>
            </w:pP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Jasność typowa</w:t>
            </w:r>
          </w:p>
        </w:tc>
        <w:tc>
          <w:tcPr>
            <w:tcW w:w="2953" w:type="pct"/>
          </w:tcPr>
          <w:p w:rsidR="008C2381" w:rsidRPr="009771C7" w:rsidRDefault="008C2381" w:rsidP="002A1DBD">
            <w:pPr>
              <w:jc w:val="both"/>
              <w:rPr>
                <w:rFonts w:asciiTheme="minorHAnsi" w:hAnsiTheme="minorHAnsi" w:cstheme="minorHAnsi"/>
                <w:bCs/>
                <w:sz w:val="20"/>
                <w:lang w:val="en-US"/>
              </w:rPr>
            </w:pPr>
            <w:r w:rsidRPr="009771C7">
              <w:rPr>
                <w:rFonts w:asciiTheme="minorHAnsi" w:hAnsiTheme="minorHAnsi" w:cstheme="minorHAnsi"/>
                <w:bCs/>
                <w:sz w:val="20"/>
              </w:rPr>
              <w:t xml:space="preserve">min. 250 </w:t>
            </w:r>
            <w:proofErr w:type="spellStart"/>
            <w:r w:rsidRPr="009771C7">
              <w:rPr>
                <w:rFonts w:asciiTheme="minorHAnsi" w:hAnsiTheme="minorHAnsi" w:cstheme="minorHAnsi"/>
                <w:bCs/>
                <w:sz w:val="20"/>
              </w:rPr>
              <w:t>cd</w:t>
            </w:r>
            <w:proofErr w:type="spellEnd"/>
            <w:r w:rsidRPr="009771C7">
              <w:rPr>
                <w:rFonts w:asciiTheme="minorHAnsi" w:hAnsiTheme="minorHAnsi" w:cstheme="minorHAnsi"/>
                <w:bCs/>
                <w:sz w:val="20"/>
              </w:rPr>
              <w:t>/</w:t>
            </w:r>
            <w:proofErr w:type="spellStart"/>
            <w:r w:rsidRPr="009771C7">
              <w:rPr>
                <w:rFonts w:asciiTheme="minorHAnsi" w:hAnsiTheme="minorHAnsi" w:cstheme="minorHAnsi"/>
                <w:bCs/>
                <w:sz w:val="20"/>
              </w:rPr>
              <w:t>m²</w:t>
            </w:r>
            <w:proofErr w:type="spellEnd"/>
            <w:r w:rsidRPr="009771C7">
              <w:rPr>
                <w:rFonts w:asciiTheme="minorHAnsi" w:hAnsiTheme="minorHAnsi" w:cstheme="minorHAnsi"/>
                <w:bCs/>
                <w:sz w:val="20"/>
                <w:lang w:val="en-US"/>
              </w:rPr>
              <w:t xml:space="preserve"> </w:t>
            </w:r>
          </w:p>
        </w:tc>
      </w:tr>
      <w:tr w:rsidR="008C2381" w:rsidRPr="009771C7" w:rsidTr="002A1DBD">
        <w:trPr>
          <w:trHeight w:val="250"/>
        </w:trPr>
        <w:tc>
          <w:tcPr>
            <w:tcW w:w="832" w:type="pct"/>
            <w:vMerge/>
            <w:shd w:val="clear" w:color="auto" w:fill="F2F2F2" w:themeFill="background1" w:themeFillShade="F2"/>
          </w:tcPr>
          <w:p w:rsidR="008C2381" w:rsidRPr="009771C7" w:rsidRDefault="008C2381" w:rsidP="002A1DBD">
            <w:pPr>
              <w:jc w:val="both"/>
              <w:rPr>
                <w:rFonts w:asciiTheme="minorHAnsi" w:hAnsiTheme="minorHAnsi" w:cstheme="minorHAnsi"/>
                <w:bCs/>
                <w:sz w:val="20"/>
                <w:lang w:val="en-US"/>
              </w:rPr>
            </w:pP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Kontrast typowy</w:t>
            </w:r>
          </w:p>
        </w:tc>
        <w:tc>
          <w:tcPr>
            <w:tcW w:w="2953" w:type="pct"/>
          </w:tcPr>
          <w:p w:rsidR="008C2381" w:rsidRPr="009771C7" w:rsidRDefault="008C2381" w:rsidP="002A1DBD">
            <w:pPr>
              <w:jc w:val="both"/>
              <w:rPr>
                <w:rFonts w:asciiTheme="minorHAnsi" w:hAnsiTheme="minorHAnsi" w:cstheme="minorHAnsi"/>
                <w:bCs/>
                <w:sz w:val="20"/>
              </w:rPr>
            </w:pPr>
            <w:r>
              <w:rPr>
                <w:rFonts w:asciiTheme="minorHAnsi" w:hAnsiTheme="minorHAnsi" w:cstheme="minorHAnsi"/>
                <w:bCs/>
                <w:sz w:val="20"/>
              </w:rPr>
              <w:t>6</w:t>
            </w:r>
            <w:r w:rsidRPr="009771C7">
              <w:rPr>
                <w:rFonts w:asciiTheme="minorHAnsi" w:hAnsiTheme="minorHAnsi" w:cstheme="minorHAnsi"/>
                <w:bCs/>
                <w:sz w:val="20"/>
              </w:rPr>
              <w:t>00:1</w:t>
            </w:r>
          </w:p>
        </w:tc>
      </w:tr>
      <w:tr w:rsidR="008C2381" w:rsidRPr="009771C7" w:rsidTr="002A1DBD">
        <w:trPr>
          <w:trHeight w:val="255"/>
        </w:trPr>
        <w:tc>
          <w:tcPr>
            <w:tcW w:w="832" w:type="pct"/>
            <w:vMerge/>
            <w:shd w:val="clear" w:color="auto" w:fill="F2F2F2" w:themeFill="background1" w:themeFillShade="F2"/>
          </w:tcPr>
          <w:p w:rsidR="008C2381" w:rsidRPr="009771C7" w:rsidRDefault="008C2381" w:rsidP="002A1DBD">
            <w:pPr>
              <w:jc w:val="both"/>
              <w:rPr>
                <w:rFonts w:asciiTheme="minorHAnsi" w:hAnsiTheme="minorHAnsi" w:cstheme="minorHAnsi"/>
                <w:bCs/>
                <w:sz w:val="20"/>
              </w:rPr>
            </w:pP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Barwa koloru (typowa)</w:t>
            </w:r>
          </w:p>
        </w:tc>
        <w:tc>
          <w:tcPr>
            <w:tcW w:w="2953"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72% NTSC</w:t>
            </w:r>
          </w:p>
        </w:tc>
      </w:tr>
      <w:tr w:rsidR="008C2381" w:rsidRPr="009771C7" w:rsidTr="002A1DBD">
        <w:trPr>
          <w:trHeight w:val="285"/>
        </w:trPr>
        <w:tc>
          <w:tcPr>
            <w:tcW w:w="832" w:type="pct"/>
            <w:vMerge/>
            <w:shd w:val="clear" w:color="auto" w:fill="F2F2F2" w:themeFill="background1" w:themeFillShade="F2"/>
          </w:tcPr>
          <w:p w:rsidR="008C2381" w:rsidRPr="009771C7" w:rsidRDefault="008C2381" w:rsidP="002A1DBD">
            <w:pPr>
              <w:jc w:val="both"/>
              <w:rPr>
                <w:rFonts w:asciiTheme="minorHAnsi" w:hAnsiTheme="minorHAnsi" w:cstheme="minorHAnsi"/>
                <w:bCs/>
                <w:sz w:val="20"/>
              </w:rPr>
            </w:pP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Kąty </w:t>
            </w:r>
            <w:proofErr w:type="spellStart"/>
            <w:r w:rsidRPr="009771C7">
              <w:rPr>
                <w:rFonts w:asciiTheme="minorHAnsi" w:hAnsiTheme="minorHAnsi" w:cstheme="minorHAnsi"/>
                <w:bCs/>
                <w:sz w:val="20"/>
              </w:rPr>
              <w:t>Horizontal</w:t>
            </w:r>
            <w:proofErr w:type="spellEnd"/>
            <w:r w:rsidRPr="009771C7">
              <w:rPr>
                <w:rFonts w:asciiTheme="minorHAnsi" w:hAnsiTheme="minorHAnsi" w:cstheme="minorHAnsi"/>
                <w:bCs/>
                <w:sz w:val="20"/>
              </w:rPr>
              <w:t>/</w:t>
            </w:r>
            <w:proofErr w:type="spellStart"/>
            <w:r w:rsidRPr="009771C7">
              <w:rPr>
                <w:rFonts w:asciiTheme="minorHAnsi" w:hAnsiTheme="minorHAnsi" w:cstheme="minorHAnsi"/>
                <w:bCs/>
                <w:sz w:val="20"/>
              </w:rPr>
              <w:t>Vertical</w:t>
            </w:r>
            <w:proofErr w:type="spellEnd"/>
          </w:p>
        </w:tc>
        <w:tc>
          <w:tcPr>
            <w:tcW w:w="2953"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178(+/- 89) / 178 (+/-89)</w:t>
            </w:r>
          </w:p>
        </w:tc>
      </w:tr>
      <w:tr w:rsidR="008C2381" w:rsidRPr="009771C7" w:rsidTr="002A1DBD">
        <w:trPr>
          <w:trHeight w:val="270"/>
        </w:trPr>
        <w:tc>
          <w:tcPr>
            <w:tcW w:w="832" w:type="pct"/>
            <w:vMerge/>
            <w:shd w:val="clear" w:color="auto" w:fill="F2F2F2" w:themeFill="background1" w:themeFillShade="F2"/>
          </w:tcPr>
          <w:p w:rsidR="008C2381" w:rsidRPr="009771C7" w:rsidRDefault="008C2381" w:rsidP="002A1DBD">
            <w:pPr>
              <w:jc w:val="both"/>
              <w:rPr>
                <w:rFonts w:asciiTheme="minorHAnsi" w:hAnsiTheme="minorHAnsi" w:cstheme="minorHAnsi"/>
                <w:bCs/>
                <w:sz w:val="20"/>
              </w:rPr>
            </w:pPr>
          </w:p>
        </w:tc>
        <w:tc>
          <w:tcPr>
            <w:tcW w:w="1215"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Rodzaj matrycy</w:t>
            </w:r>
          </w:p>
        </w:tc>
        <w:tc>
          <w:tcPr>
            <w:tcW w:w="2953" w:type="pct"/>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Matowa IPS</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Wyposażenie multimedialne</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Karta dźwiękowa zintegrowana z płytą główną, wbudowane dwa głośniki min. 2W na kanał.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Wbudowana w obudowę matrycy cyfrowa kamera </w:t>
            </w:r>
            <w:r>
              <w:rPr>
                <w:rFonts w:asciiTheme="minorHAnsi" w:hAnsiTheme="minorHAnsi" w:cstheme="minorHAnsi"/>
                <w:bCs/>
                <w:sz w:val="20"/>
              </w:rPr>
              <w:t>1.</w:t>
            </w:r>
            <w:r w:rsidRPr="009771C7">
              <w:rPr>
                <w:rFonts w:asciiTheme="minorHAnsi" w:hAnsiTheme="minorHAnsi" w:cstheme="minorHAnsi"/>
                <w:bCs/>
                <w:sz w:val="20"/>
              </w:rPr>
              <w:t>0 MP z diodą LED informującą użytkownika o pracy,</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Mechaniczna </w:t>
            </w:r>
            <w:r>
              <w:rPr>
                <w:rFonts w:asciiTheme="minorHAnsi" w:hAnsiTheme="minorHAnsi" w:cstheme="minorHAnsi"/>
                <w:bCs/>
                <w:sz w:val="20"/>
              </w:rPr>
              <w:t>przesłona kamery</w:t>
            </w:r>
            <w:r w:rsidRPr="009771C7">
              <w:rPr>
                <w:rFonts w:asciiTheme="minorHAnsi" w:hAnsiTheme="minorHAnsi" w:cstheme="minorHAnsi"/>
                <w:bCs/>
                <w:sz w:val="20"/>
              </w:rPr>
              <w:t xml:space="preserve"> w obudowie (nie dopuszcza się kamer przekręcanych)</w:t>
            </w:r>
            <w:r>
              <w:rPr>
                <w:rFonts w:asciiTheme="minorHAnsi" w:hAnsiTheme="minorHAnsi" w:cstheme="minorHAnsi"/>
                <w:bCs/>
                <w:sz w:val="20"/>
              </w:rPr>
              <w:t>.</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lastRenderedPageBreak/>
              <w:t xml:space="preserve">Wbudowane w obudowę dwa mikrofony </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ind w:left="360" w:hanging="360"/>
              <w:jc w:val="both"/>
              <w:rPr>
                <w:rFonts w:asciiTheme="minorHAnsi" w:hAnsiTheme="minorHAnsi" w:cstheme="minorHAnsi"/>
                <w:bCs/>
                <w:sz w:val="20"/>
              </w:rPr>
            </w:pPr>
            <w:r w:rsidRPr="009771C7">
              <w:rPr>
                <w:rFonts w:asciiTheme="minorHAnsi" w:hAnsiTheme="minorHAnsi" w:cstheme="minorHAnsi"/>
                <w:bCs/>
                <w:sz w:val="20"/>
              </w:rPr>
              <w:lastRenderedPageBreak/>
              <w:t>Obudowa</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Typu </w:t>
            </w:r>
            <w:proofErr w:type="spellStart"/>
            <w:r w:rsidRPr="009771C7">
              <w:rPr>
                <w:rFonts w:asciiTheme="minorHAnsi" w:hAnsiTheme="minorHAnsi" w:cstheme="minorHAnsi"/>
                <w:bCs/>
                <w:sz w:val="20"/>
              </w:rPr>
              <w:t>All-in-One</w:t>
            </w:r>
            <w:proofErr w:type="spellEnd"/>
            <w:r w:rsidRPr="009771C7">
              <w:rPr>
                <w:rFonts w:asciiTheme="minorHAnsi" w:hAnsiTheme="minorHAnsi" w:cstheme="minorHAnsi"/>
                <w:bCs/>
                <w:sz w:val="20"/>
              </w:rPr>
              <w:t xml:space="preserve"> zintegrowana z monitorem min. 23.8 cali. Obudowa musi umożliwiać zastosowanie zabezpieczenia fizycznego w postaci linki metalowej lub kłódki (oczko w obudowie do założenia kłódki),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Zasilacz o mocy min. </w:t>
            </w:r>
            <w:r>
              <w:rPr>
                <w:rFonts w:asciiTheme="minorHAnsi" w:hAnsiTheme="minorHAnsi" w:cstheme="minorHAnsi"/>
                <w:bCs/>
                <w:sz w:val="20"/>
              </w:rPr>
              <w:t>65</w:t>
            </w:r>
            <w:r w:rsidRPr="009771C7">
              <w:rPr>
                <w:rFonts w:asciiTheme="minorHAnsi" w:hAnsiTheme="minorHAnsi" w:cstheme="minorHAnsi"/>
                <w:bCs/>
                <w:sz w:val="20"/>
              </w:rPr>
              <w:t xml:space="preserve">W o efektywności min. 85% przy obciążeniu zasilacza na poziomie 50% oraz o efektywności min. 82% przy obciążeniu zasilacza na poziomie 100%,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Wbudowany wizualny system diagnostyczny, służący do sygnalizowania i diagnozowania problemów z komputerem i jego komponentami, w szczególności: uszkodzenia lub braku pamięci RAM, uszkodzenia płyty głównej, awarii procesora. System diagnostyczny nie może wykorzystywać minimalnej ilości wolnych slotów wymaganych w specyfikacji.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Każdy komputer musi być oznaczony niepowtarzalnym numerem seryjnym umieszonym na obudowie, oraz wpisanym na stałe w BIOS.</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Podstawa jednostki typu All – </w:t>
            </w:r>
            <w:proofErr w:type="spellStart"/>
            <w:r w:rsidRPr="009771C7">
              <w:rPr>
                <w:rFonts w:asciiTheme="minorHAnsi" w:hAnsiTheme="minorHAnsi" w:cstheme="minorHAnsi"/>
                <w:bCs/>
                <w:sz w:val="20"/>
              </w:rPr>
              <w:t>in</w:t>
            </w:r>
            <w:proofErr w:type="spellEnd"/>
            <w:r w:rsidRPr="009771C7">
              <w:rPr>
                <w:rFonts w:asciiTheme="minorHAnsi" w:hAnsiTheme="minorHAnsi" w:cstheme="minorHAnsi"/>
                <w:bCs/>
                <w:sz w:val="20"/>
              </w:rPr>
              <w:t xml:space="preserve"> – One musi umożliwiać:</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Regulację pochyłu pionowego w zakresie od -5 do </w:t>
            </w:r>
            <w:r>
              <w:rPr>
                <w:rFonts w:asciiTheme="minorHAnsi" w:hAnsiTheme="minorHAnsi" w:cstheme="minorHAnsi"/>
                <w:bCs/>
                <w:sz w:val="20"/>
              </w:rPr>
              <w:t>20</w:t>
            </w:r>
            <w:r w:rsidRPr="009771C7">
              <w:rPr>
                <w:rFonts w:asciiTheme="minorHAnsi" w:hAnsiTheme="minorHAnsi" w:cstheme="minorHAnsi"/>
                <w:bCs/>
                <w:sz w:val="20"/>
              </w:rPr>
              <w:t xml:space="preserve"> stopni.</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Zgodność z systemami operacyjnymi i standardami</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Zdalne zarządzanie</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a także zapewniająca min.:</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t>
            </w:r>
            <w:r w:rsidRPr="009771C7">
              <w:rPr>
                <w:rFonts w:asciiTheme="minorHAnsi" w:hAnsiTheme="minorHAnsi" w:cstheme="minorHAnsi"/>
                <w:bCs/>
                <w:sz w:val="20"/>
              </w:rPr>
              <w:tab/>
              <w:t xml:space="preserve">Monitorowanie konfiguracji komponentów komputera - CPU, Pamięć, HDD wersja BIOS płyty głównej;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t>
            </w:r>
            <w:r w:rsidRPr="009771C7">
              <w:rPr>
                <w:rFonts w:asciiTheme="minorHAnsi" w:hAnsiTheme="minorHAnsi" w:cstheme="minorHAnsi"/>
                <w:bCs/>
                <w:sz w:val="20"/>
              </w:rPr>
              <w:tab/>
              <w:t>Zdalną konfigurację ustawień BIOS</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Bezpieczeństwo</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Zaimplementowany w BIOS system diagnostyczny z graficznym interfejsem użytkownika dostępny z poziomu BIOS lub szybkiego menu </w:t>
            </w:r>
            <w:proofErr w:type="spellStart"/>
            <w:r w:rsidRPr="009771C7">
              <w:rPr>
                <w:rFonts w:asciiTheme="minorHAnsi" w:hAnsiTheme="minorHAnsi" w:cstheme="minorHAnsi"/>
                <w:bCs/>
                <w:sz w:val="20"/>
              </w:rPr>
              <w:t>boot’owania</w:t>
            </w:r>
            <w:proofErr w:type="spellEnd"/>
            <w:r w:rsidRPr="009771C7">
              <w:rPr>
                <w:rFonts w:asciiTheme="minorHAnsi" w:hAnsiTheme="minorHAnsi" w:cstheme="minorHAnsi"/>
                <w:bCs/>
                <w:sz w:val="20"/>
              </w:rPr>
              <w:t xml:space="preserve">, umożliwiający przetestowanie w celu wykrycia usterki zainstalowanych komponentów bez konieczności uruchamiania systemu operacyjnego. System musi posiadać wszystkie swoje funkcjonalności w przypadku: braku dysku, uszkodzenia dysku, sformatowania dysku, braku dostępu do sieci, </w:t>
            </w:r>
            <w:proofErr w:type="spellStart"/>
            <w:r w:rsidRPr="009771C7">
              <w:rPr>
                <w:rFonts w:asciiTheme="minorHAnsi" w:hAnsiTheme="minorHAnsi" w:cstheme="minorHAnsi"/>
                <w:bCs/>
                <w:sz w:val="20"/>
              </w:rPr>
              <w:t>internetu</w:t>
            </w:r>
            <w:proofErr w:type="spellEnd"/>
            <w:r w:rsidRPr="009771C7">
              <w:rPr>
                <w:rFonts w:asciiTheme="minorHAnsi" w:hAnsiTheme="minorHAnsi" w:cstheme="minorHAnsi"/>
                <w:bCs/>
                <w:sz w:val="20"/>
              </w:rPr>
              <w:t>. Nie dopuszcza się stosowania zewnętrznych urządzeń w celu uzyskania funkcjonalności systemu diagnostycznego.</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BIOS</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BIOS 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we/wy oraz </w:t>
            </w:r>
            <w:proofErr w:type="spellStart"/>
            <w:r w:rsidRPr="009771C7">
              <w:rPr>
                <w:rFonts w:asciiTheme="minorHAnsi" w:hAnsiTheme="minorHAnsi" w:cstheme="minorHAnsi"/>
                <w:bCs/>
                <w:sz w:val="20"/>
              </w:rPr>
              <w:t>wł</w:t>
            </w:r>
            <w:proofErr w:type="spellEnd"/>
            <w:r w:rsidRPr="009771C7">
              <w:rPr>
                <w:rFonts w:asciiTheme="minorHAnsi" w:hAnsiTheme="minorHAnsi" w:cstheme="minorHAnsi"/>
                <w:bCs/>
                <w:sz w:val="20"/>
              </w:rPr>
              <w:t>/wy funkcji bez używania klawiatury).</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Informacje dostępne z poziomu BIOS na potrzeby inwentaryzacji:</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wersja BIOS, nr seryjny, data produkcji komputera, pamięć RAM (taktowanie, wielkość, obsadzenie kości w slotach, procesor (typ, nazwa, typowa prędkość, minimalna, maksymalna, </w:t>
            </w:r>
            <w:proofErr w:type="spellStart"/>
            <w:r w:rsidRPr="009771C7">
              <w:rPr>
                <w:rFonts w:asciiTheme="minorHAnsi" w:hAnsiTheme="minorHAnsi" w:cstheme="minorHAnsi"/>
                <w:bCs/>
                <w:sz w:val="20"/>
              </w:rPr>
              <w:t>cache</w:t>
            </w:r>
            <w:proofErr w:type="spellEnd"/>
            <w:r w:rsidRPr="009771C7">
              <w:rPr>
                <w:rFonts w:asciiTheme="minorHAnsi" w:hAnsiTheme="minorHAnsi" w:cstheme="minorHAnsi"/>
                <w:bCs/>
                <w:sz w:val="20"/>
              </w:rPr>
              <w:t xml:space="preserve"> L2 i L3) , pojemności zainstalowanego lub zainstalowanych dysków twardych MAC adres zintegrowanej karty sieciowej, zintegrowany układ graficzny, kontroler audio.</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Informacje dostępne w samym menu BIOS bez stosowania dodatkowego oprogramowania jak i wbudowanego systemu diagnostycznego.</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ustawienia hasła na poziomie:</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administratora [hasło nadrzędne]</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użytkownika/systemowego [hasło umożliwiające użytkownikowi zmianę swojego hasła i zgodnie z uprawnieniami nadanymi przez administratora dokonywać zmian ustawień BIOS], rozruch systemu operacyjnego [hasło blokuje start systemu operacyjnego].</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Funkcja blokowania/odblokowania </w:t>
            </w:r>
            <w:proofErr w:type="spellStart"/>
            <w:r w:rsidRPr="009771C7">
              <w:rPr>
                <w:rFonts w:asciiTheme="minorHAnsi" w:hAnsiTheme="minorHAnsi" w:cstheme="minorHAnsi"/>
                <w:bCs/>
                <w:sz w:val="20"/>
              </w:rPr>
              <w:t>BOOT-owania</w:t>
            </w:r>
            <w:proofErr w:type="spellEnd"/>
            <w:r w:rsidRPr="009771C7">
              <w:rPr>
                <w:rFonts w:asciiTheme="minorHAnsi" w:hAnsiTheme="minorHAnsi" w:cstheme="minorHAnsi"/>
                <w:bCs/>
                <w:sz w:val="20"/>
              </w:rPr>
              <w:t xml:space="preserve"> stacji roboczej z zewnętrznych urządzeń.</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wyłączenia/włączenia karty sieciowej</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włączenia/wyłączenia kontrolera SATA</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lastRenderedPageBreak/>
              <w:t>Możliwość włączenia/wyłączenia kontrolera audio,</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włączenia/wyłączenia układu TPM.</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włączenia/wyłączenia wbudowanej kamery i czytnika kart multimedialnych</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Możliwość włączenia/wyłączenia czujnika otwarcia obudowy, ustawienia go w tryb cichy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przypisania w BIOS numeru nadawanego przez Administratora oraz możliwość weryfikacji tego numeru w oprogramowaniu diagnostyczno-zarządzającym. [ musi umożliwiać znaki specjalne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Możliwość zdefiniowania automatycznego uruchamiania komputera w min. dwóch trybach: codziennie lub w wybrane dni tygodnia,</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Możliwość ustawienia portów USB w trybie „no BOOT”, czyli podczas startu komputer nie wykrywa urządzeń </w:t>
            </w:r>
            <w:proofErr w:type="spellStart"/>
            <w:r w:rsidRPr="009771C7">
              <w:rPr>
                <w:rFonts w:asciiTheme="minorHAnsi" w:hAnsiTheme="minorHAnsi" w:cstheme="minorHAnsi"/>
                <w:bCs/>
                <w:sz w:val="20"/>
              </w:rPr>
              <w:t>bootujących</w:t>
            </w:r>
            <w:proofErr w:type="spellEnd"/>
            <w:r w:rsidRPr="009771C7">
              <w:rPr>
                <w:rFonts w:asciiTheme="minorHAnsi" w:hAnsiTheme="minorHAnsi" w:cstheme="minorHAnsi"/>
                <w:bCs/>
                <w:sz w:val="20"/>
              </w:rPr>
              <w:t xml:space="preserve"> typu USB, natomiast po uruchomieniu systemu operacyjnego porty USB są aktywne.</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Możliwość wyłączania portów USB w szczególności pojedynczo w dowolnej kombinacja.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BIOS musi nanosić automatycznie wszystkie zmiany konfiguracji dotyczące w szczególności: pamięci, procesora, dysku.</w:t>
            </w:r>
          </w:p>
        </w:tc>
      </w:tr>
      <w:tr w:rsidR="008C2381" w:rsidRPr="009771C7" w:rsidTr="002A1DBD">
        <w:trPr>
          <w:trHeight w:val="284"/>
        </w:trPr>
        <w:tc>
          <w:tcPr>
            <w:tcW w:w="832" w:type="pct"/>
            <w:shd w:val="clear" w:color="auto" w:fill="F2F2F2" w:themeFill="background1" w:themeFillShade="F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lastRenderedPageBreak/>
              <w:t>Certyfikaty i standardy</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Certyfikat ISO9001 dla producenta sprzętu (załączyć do oferty)</w:t>
            </w:r>
          </w:p>
          <w:p w:rsidR="008C2381" w:rsidRDefault="008C2381" w:rsidP="002A1DBD">
            <w:pPr>
              <w:jc w:val="both"/>
              <w:rPr>
                <w:rFonts w:asciiTheme="minorHAnsi" w:hAnsiTheme="minorHAnsi" w:cstheme="minorHAnsi"/>
                <w:bCs/>
                <w:sz w:val="20"/>
              </w:rPr>
            </w:pPr>
            <w:r w:rsidRPr="009771C7">
              <w:rPr>
                <w:rFonts w:asciiTheme="minorHAnsi" w:hAnsiTheme="minorHAnsi" w:cstheme="minorHAnsi"/>
                <w:bCs/>
                <w:sz w:val="20"/>
              </w:rPr>
              <w:t>Certyfikat ISO 50001 dla producenta sprzętu</w:t>
            </w:r>
            <w:r>
              <w:rPr>
                <w:rFonts w:asciiTheme="minorHAnsi" w:hAnsiTheme="minorHAnsi" w:cstheme="minorHAnsi"/>
                <w:bCs/>
                <w:sz w:val="20"/>
              </w:rPr>
              <w:t xml:space="preserve"> </w:t>
            </w:r>
            <w:r w:rsidRPr="009771C7">
              <w:rPr>
                <w:rFonts w:asciiTheme="minorHAnsi" w:hAnsiTheme="minorHAnsi" w:cstheme="minorHAnsi"/>
                <w:bCs/>
                <w:sz w:val="20"/>
              </w:rPr>
              <w:t>(załączyć do oferty)</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Certyfikat ISO </w:t>
            </w:r>
            <w:r>
              <w:rPr>
                <w:rFonts w:asciiTheme="minorHAnsi" w:hAnsiTheme="minorHAnsi" w:cstheme="minorHAnsi"/>
                <w:bCs/>
                <w:sz w:val="20"/>
              </w:rPr>
              <w:t>45001</w:t>
            </w:r>
            <w:r w:rsidRPr="009771C7">
              <w:rPr>
                <w:rFonts w:asciiTheme="minorHAnsi" w:hAnsiTheme="minorHAnsi" w:cstheme="minorHAnsi"/>
                <w:bCs/>
                <w:sz w:val="20"/>
              </w:rPr>
              <w:t xml:space="preserve"> dla producenta sprzętu</w:t>
            </w:r>
            <w:r>
              <w:rPr>
                <w:rFonts w:asciiTheme="minorHAnsi" w:hAnsiTheme="minorHAnsi" w:cstheme="minorHAnsi"/>
                <w:bCs/>
                <w:sz w:val="20"/>
              </w:rPr>
              <w:t xml:space="preserve"> </w:t>
            </w:r>
            <w:r w:rsidRPr="009771C7">
              <w:rPr>
                <w:rFonts w:asciiTheme="minorHAnsi" w:hAnsiTheme="minorHAnsi" w:cstheme="minorHAnsi"/>
                <w:bCs/>
                <w:sz w:val="20"/>
              </w:rPr>
              <w:t>(załączyć do oferty)</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Deklaracja zgodności CE (załączyć do oferty)</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Potwierdzenie spełnienia kryteriów środowiskowych, w tym zgodności z dyrektywą </w:t>
            </w:r>
            <w:proofErr w:type="spellStart"/>
            <w:r w:rsidRPr="009771C7">
              <w:rPr>
                <w:rFonts w:asciiTheme="minorHAnsi" w:hAnsiTheme="minorHAnsi" w:cstheme="minorHAnsi"/>
                <w:bCs/>
                <w:sz w:val="20"/>
              </w:rPr>
              <w:t>RoHS</w:t>
            </w:r>
            <w:proofErr w:type="spellEnd"/>
            <w:r w:rsidRPr="009771C7">
              <w:rPr>
                <w:rFonts w:asciiTheme="minorHAnsi" w:hAnsiTheme="minorHAnsi" w:cstheme="minorHAnsi"/>
                <w:bCs/>
                <w:sz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8C2381" w:rsidRPr="009771C7" w:rsidTr="002A1DBD">
        <w:tc>
          <w:tcPr>
            <w:tcW w:w="832" w:type="pct"/>
            <w:shd w:val="clear" w:color="auto" w:fill="F2F2F2" w:themeFill="background1" w:themeFillShade="F2"/>
          </w:tcPr>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System operacyjny – w formularzu oferty należy podać pełną nazwę oferowanego oprogramowania</w:t>
            </w:r>
          </w:p>
        </w:tc>
        <w:tc>
          <w:tcPr>
            <w:tcW w:w="4168" w:type="pct"/>
            <w:gridSpan w:val="2"/>
          </w:tcPr>
          <w:p w:rsidR="008C2381" w:rsidRPr="009771C7" w:rsidRDefault="008C2381" w:rsidP="002A1DBD">
            <w:pPr>
              <w:jc w:val="both"/>
              <w:rPr>
                <w:rFonts w:asciiTheme="minorHAnsi" w:hAnsiTheme="minorHAnsi" w:cstheme="minorHAnsi"/>
                <w:bCs/>
                <w:sz w:val="20"/>
                <w:bdr w:val="none" w:sz="0" w:space="0" w:color="auto" w:frame="1"/>
              </w:rPr>
            </w:pPr>
            <w:r w:rsidRPr="009771C7">
              <w:rPr>
                <w:rFonts w:asciiTheme="minorHAnsi" w:hAnsiTheme="minorHAnsi" w:cstheme="minorHAnsi"/>
                <w:bCs/>
                <w:sz w:val="20"/>
                <w:bdr w:val="none" w:sz="0" w:space="0" w:color="auto" w:frame="1"/>
              </w:rPr>
              <w:t>Zainstalowany system operacyjny Windows 1</w:t>
            </w:r>
            <w:r>
              <w:rPr>
                <w:rFonts w:asciiTheme="minorHAnsi" w:hAnsiTheme="minorHAnsi" w:cstheme="minorHAnsi"/>
                <w:bCs/>
                <w:sz w:val="20"/>
                <w:bdr w:val="none" w:sz="0" w:space="0" w:color="auto" w:frame="1"/>
              </w:rPr>
              <w:t>1</w:t>
            </w:r>
            <w:r w:rsidRPr="009771C7">
              <w:rPr>
                <w:rFonts w:asciiTheme="minorHAnsi" w:hAnsiTheme="minorHAnsi" w:cstheme="minorHAnsi"/>
                <w:bCs/>
                <w:sz w:val="20"/>
                <w:bdr w:val="none" w:sz="0" w:space="0" w:color="auto" w:frame="1"/>
              </w:rPr>
              <w:t xml:space="preserve"> Professional, klucz licencyjny musi umożliwiać instalację systemu operacyjnego zdalnie bez potrzeby ręcznego wpisywania klucza licencyjnego.</w:t>
            </w:r>
          </w:p>
        </w:tc>
      </w:tr>
      <w:tr w:rsidR="008C2381" w:rsidRPr="009771C7" w:rsidTr="002A1DBD">
        <w:tc>
          <w:tcPr>
            <w:tcW w:w="832" w:type="pct"/>
            <w:shd w:val="clear" w:color="auto" w:fill="F2F2F2" w:themeFill="background1" w:themeFillShade="F2"/>
          </w:tcPr>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 xml:space="preserve">Wymagania dodatkowe </w:t>
            </w:r>
          </w:p>
        </w:tc>
        <w:tc>
          <w:tcPr>
            <w:tcW w:w="4168" w:type="pct"/>
            <w:gridSpan w:val="2"/>
            <w:shd w:val="clear" w:color="auto" w:fill="auto"/>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Wbudowane porty: </w:t>
            </w:r>
          </w:p>
          <w:p w:rsidR="008C2381" w:rsidRPr="002B3237" w:rsidRDefault="008C2381" w:rsidP="002A1DBD">
            <w:pPr>
              <w:jc w:val="both"/>
              <w:rPr>
                <w:rFonts w:asciiTheme="minorHAnsi" w:hAnsiTheme="minorHAnsi" w:cstheme="minorHAnsi"/>
                <w:bCs/>
                <w:sz w:val="20"/>
              </w:rPr>
            </w:pPr>
            <w:r w:rsidRPr="002B3237">
              <w:rPr>
                <w:rFonts w:asciiTheme="minorHAnsi" w:hAnsiTheme="minorHAnsi" w:cstheme="minorHAnsi"/>
                <w:bCs/>
                <w:sz w:val="20"/>
              </w:rPr>
              <w:t xml:space="preserve">1x HDMI </w:t>
            </w:r>
          </w:p>
          <w:p w:rsidR="008C2381" w:rsidRPr="002B3237" w:rsidRDefault="008C2381" w:rsidP="002A1DBD">
            <w:pPr>
              <w:jc w:val="both"/>
              <w:rPr>
                <w:rFonts w:asciiTheme="minorHAnsi" w:hAnsiTheme="minorHAnsi" w:cstheme="minorHAnsi"/>
                <w:bCs/>
                <w:sz w:val="20"/>
              </w:rPr>
            </w:pPr>
            <w:r w:rsidRPr="002B3237">
              <w:rPr>
                <w:rFonts w:asciiTheme="minorHAnsi" w:hAnsiTheme="minorHAnsi" w:cstheme="minorHAnsi"/>
                <w:bCs/>
                <w:sz w:val="20"/>
              </w:rPr>
              <w:t xml:space="preserve">1x USB </w:t>
            </w:r>
            <w:r>
              <w:rPr>
                <w:rFonts w:asciiTheme="minorHAnsi" w:hAnsiTheme="minorHAnsi" w:cstheme="minorHAnsi"/>
                <w:bCs/>
                <w:sz w:val="20"/>
              </w:rPr>
              <w:t>3.2 Typ-C</w:t>
            </w:r>
          </w:p>
          <w:p w:rsidR="008C2381" w:rsidRPr="002B3237" w:rsidRDefault="008C2381" w:rsidP="002A1DBD">
            <w:pPr>
              <w:jc w:val="both"/>
              <w:rPr>
                <w:rFonts w:asciiTheme="minorHAnsi" w:hAnsiTheme="minorHAnsi" w:cstheme="minorHAnsi"/>
                <w:bCs/>
                <w:sz w:val="20"/>
              </w:rPr>
            </w:pPr>
            <w:r>
              <w:rPr>
                <w:rFonts w:asciiTheme="minorHAnsi" w:hAnsiTheme="minorHAnsi" w:cstheme="minorHAnsi"/>
                <w:bCs/>
                <w:sz w:val="20"/>
              </w:rPr>
              <w:t>3</w:t>
            </w:r>
            <w:r w:rsidRPr="002B3237">
              <w:rPr>
                <w:rFonts w:asciiTheme="minorHAnsi" w:hAnsiTheme="minorHAnsi" w:cstheme="minorHAnsi"/>
                <w:bCs/>
                <w:sz w:val="20"/>
              </w:rPr>
              <w:t xml:space="preserve">x USB 3.2 Typ-A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Wymagane porty USB wbudowane, nie dopuszcza się stosowania rozgałęziaczy, </w:t>
            </w:r>
            <w:proofErr w:type="spellStart"/>
            <w:r w:rsidRPr="009771C7">
              <w:rPr>
                <w:rFonts w:asciiTheme="minorHAnsi" w:hAnsiTheme="minorHAnsi" w:cstheme="minorHAnsi"/>
                <w:bCs/>
                <w:sz w:val="20"/>
              </w:rPr>
              <w:t>hub’ów</w:t>
            </w:r>
            <w:proofErr w:type="spellEnd"/>
            <w:r w:rsidRPr="009771C7">
              <w:rPr>
                <w:rFonts w:asciiTheme="minorHAnsi" w:hAnsiTheme="minorHAnsi" w:cstheme="minorHAnsi"/>
                <w:bCs/>
                <w:sz w:val="20"/>
              </w:rPr>
              <w:t xml:space="preserve"> itp. Wszystkie porty dostępne dla użytkownika w najniższej możliwej regulacji wysokości</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1x Universal audio </w:t>
            </w:r>
            <w:proofErr w:type="spellStart"/>
            <w:r w:rsidRPr="009771C7">
              <w:rPr>
                <w:rFonts w:asciiTheme="minorHAnsi" w:hAnsiTheme="minorHAnsi" w:cstheme="minorHAnsi"/>
                <w:bCs/>
                <w:sz w:val="20"/>
              </w:rPr>
              <w:t>jack</w:t>
            </w:r>
            <w:proofErr w:type="spellEnd"/>
            <w:r w:rsidRPr="009771C7">
              <w:rPr>
                <w:rFonts w:asciiTheme="minorHAnsi" w:hAnsiTheme="minorHAnsi" w:cstheme="minorHAnsi"/>
                <w:bCs/>
                <w:sz w:val="20"/>
              </w:rPr>
              <w:t xml:space="preserve"> </w:t>
            </w:r>
          </w:p>
          <w:p w:rsidR="008C2381" w:rsidRPr="009771C7" w:rsidRDefault="008C2381" w:rsidP="002A1DBD">
            <w:pPr>
              <w:jc w:val="both"/>
              <w:rPr>
                <w:rFonts w:asciiTheme="minorHAnsi" w:hAnsiTheme="minorHAnsi" w:cstheme="minorHAnsi"/>
                <w:bCs/>
                <w:sz w:val="20"/>
                <w:lang w:val="en-US"/>
              </w:rPr>
            </w:pPr>
            <w:r w:rsidRPr="009771C7">
              <w:rPr>
                <w:rFonts w:asciiTheme="minorHAnsi" w:hAnsiTheme="minorHAnsi" w:cstheme="minorHAnsi"/>
                <w:bCs/>
                <w:sz w:val="20"/>
                <w:lang w:val="en-US"/>
              </w:rPr>
              <w:t>1x  RJ-45 port 10/100/1000 Mbps</w:t>
            </w:r>
          </w:p>
          <w:p w:rsidR="008C2381" w:rsidRPr="008C2381" w:rsidRDefault="008C2381" w:rsidP="002A1DBD">
            <w:pPr>
              <w:jc w:val="both"/>
              <w:rPr>
                <w:rFonts w:asciiTheme="minorHAnsi" w:hAnsiTheme="minorHAnsi" w:cstheme="minorHAnsi"/>
                <w:bCs/>
                <w:i/>
                <w:sz w:val="20"/>
                <w:lang w:val="en-US"/>
              </w:rPr>
            </w:pPr>
            <w:r w:rsidRPr="008C2381">
              <w:rPr>
                <w:rFonts w:asciiTheme="minorHAnsi" w:hAnsiTheme="minorHAnsi" w:cstheme="minorHAnsi"/>
                <w:bCs/>
                <w:sz w:val="20"/>
                <w:lang w:val="en-US"/>
              </w:rPr>
              <w:t xml:space="preserve">Karta </w:t>
            </w:r>
            <w:proofErr w:type="spellStart"/>
            <w:r w:rsidRPr="008C2381">
              <w:rPr>
                <w:rFonts w:asciiTheme="minorHAnsi" w:hAnsiTheme="minorHAnsi" w:cstheme="minorHAnsi"/>
                <w:bCs/>
                <w:sz w:val="20"/>
                <w:lang w:val="en-US"/>
              </w:rPr>
              <w:t>WiFi</w:t>
            </w:r>
            <w:proofErr w:type="spellEnd"/>
            <w:r w:rsidRPr="008C2381">
              <w:rPr>
                <w:rFonts w:asciiTheme="minorHAnsi" w:hAnsiTheme="minorHAnsi" w:cstheme="minorHAnsi"/>
                <w:bCs/>
                <w:sz w:val="20"/>
                <w:lang w:val="en-US"/>
              </w:rPr>
              <w:t xml:space="preserve"> ax+ </w:t>
            </w:r>
            <w:proofErr w:type="spellStart"/>
            <w:r w:rsidRPr="008C2381">
              <w:rPr>
                <w:rFonts w:asciiTheme="minorHAnsi" w:hAnsiTheme="minorHAnsi" w:cstheme="minorHAnsi"/>
                <w:bCs/>
                <w:sz w:val="20"/>
                <w:lang w:val="en-US"/>
              </w:rPr>
              <w:t>bluetooth</w:t>
            </w:r>
            <w:proofErr w:type="spellEnd"/>
            <w:r w:rsidRPr="008C2381">
              <w:rPr>
                <w:rFonts w:asciiTheme="minorHAnsi" w:hAnsiTheme="minorHAnsi" w:cstheme="minorHAnsi"/>
                <w:bCs/>
                <w:sz w:val="20"/>
                <w:lang w:val="en-US"/>
              </w:rPr>
              <w:t xml:space="preserve"> 5.1</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Płyta główna </w:t>
            </w:r>
            <w:r w:rsidRPr="009771C7">
              <w:rPr>
                <w:rFonts w:asciiTheme="minorHAnsi" w:hAnsiTheme="minorHAnsi" w:cstheme="minorHAnsi"/>
                <w:bCs/>
                <w:sz w:val="20"/>
                <w:lang w:eastAsia="en-US"/>
              </w:rPr>
              <w:t xml:space="preserve">zaprojektowana i wyprodukowana na zlecenie producenta komputera, trwale oznaczona logo producenta oferowanej jednostki, dedykowana dla danego urządzenia; </w:t>
            </w:r>
            <w:r w:rsidRPr="009771C7">
              <w:rPr>
                <w:rFonts w:asciiTheme="minorHAnsi" w:hAnsiTheme="minorHAnsi" w:cstheme="minorHAnsi"/>
                <w:bCs/>
                <w:sz w:val="20"/>
              </w:rPr>
              <w:t xml:space="preserve">wyposażona w min. 2 złącza DIMM z obsługą do </w:t>
            </w:r>
            <w:r>
              <w:rPr>
                <w:rFonts w:asciiTheme="minorHAnsi" w:hAnsiTheme="minorHAnsi" w:cstheme="minorHAnsi"/>
                <w:bCs/>
                <w:sz w:val="20"/>
              </w:rPr>
              <w:t>32</w:t>
            </w:r>
            <w:r w:rsidRPr="009771C7">
              <w:rPr>
                <w:rFonts w:asciiTheme="minorHAnsi" w:hAnsiTheme="minorHAnsi" w:cstheme="minorHAnsi"/>
                <w:bCs/>
                <w:sz w:val="20"/>
              </w:rPr>
              <w:t xml:space="preserve">GB DDR4 pamięci RAM, min. 1 złącza M.2 2280 dla dysku twardego oraz 1 złącze M.2 karty </w:t>
            </w:r>
            <w:proofErr w:type="spellStart"/>
            <w:r w:rsidRPr="009771C7">
              <w:rPr>
                <w:rFonts w:asciiTheme="minorHAnsi" w:hAnsiTheme="minorHAnsi" w:cstheme="minorHAnsi"/>
                <w:bCs/>
                <w:sz w:val="20"/>
              </w:rPr>
              <w:t>WiFi</w:t>
            </w:r>
            <w:proofErr w:type="spellEnd"/>
            <w:r>
              <w:rPr>
                <w:rFonts w:asciiTheme="minorHAnsi" w:hAnsiTheme="minorHAnsi" w:cstheme="minorHAnsi"/>
                <w:bCs/>
                <w:sz w:val="20"/>
              </w:rPr>
              <w:t>.</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Klawiatura USB w układzie polski programisty </w:t>
            </w:r>
          </w:p>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Mysz optyczna USB z dwoma przyciskami oraz rolką (</w:t>
            </w:r>
            <w:proofErr w:type="spellStart"/>
            <w:r w:rsidRPr="009771C7">
              <w:rPr>
                <w:rFonts w:asciiTheme="minorHAnsi" w:hAnsiTheme="minorHAnsi" w:cstheme="minorHAnsi"/>
                <w:bCs/>
                <w:sz w:val="20"/>
              </w:rPr>
              <w:t>scroll</w:t>
            </w:r>
            <w:proofErr w:type="spellEnd"/>
            <w:r w:rsidRPr="009771C7">
              <w:rPr>
                <w:rFonts w:asciiTheme="minorHAnsi" w:hAnsiTheme="minorHAnsi" w:cstheme="minorHAnsi"/>
                <w:bCs/>
                <w:sz w:val="20"/>
              </w:rPr>
              <w:t>)</w:t>
            </w:r>
          </w:p>
        </w:tc>
      </w:tr>
      <w:tr w:rsidR="008C2381" w:rsidRPr="009771C7" w:rsidTr="002A1DBD">
        <w:tc>
          <w:tcPr>
            <w:tcW w:w="832" w:type="pct"/>
            <w:shd w:val="clear" w:color="auto" w:fill="F2F2F2" w:themeFill="background1" w:themeFillShade="F2"/>
          </w:tcPr>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Dodatkowe oprogramowanie – w formularzu oferty należy podać pełną nazwę oferowanego oprogramowania</w:t>
            </w:r>
          </w:p>
        </w:tc>
        <w:tc>
          <w:tcPr>
            <w:tcW w:w="4168" w:type="pct"/>
            <w:gridSpan w:val="2"/>
          </w:tcPr>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Oprogramowanie producenta komputera z nieograniczoną czasowo licencją na użytkowanie umożliwiające:</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 </w:t>
            </w:r>
            <w:proofErr w:type="spellStart"/>
            <w:r w:rsidRPr="009771C7">
              <w:rPr>
                <w:rFonts w:asciiTheme="minorHAnsi" w:hAnsiTheme="minorHAnsi" w:cstheme="minorHAnsi"/>
                <w:bCs/>
                <w:sz w:val="20"/>
              </w:rPr>
              <w:t>upgrade</w:t>
            </w:r>
            <w:proofErr w:type="spellEnd"/>
            <w:r w:rsidRPr="009771C7">
              <w:rPr>
                <w:rFonts w:asciiTheme="minorHAnsi" w:hAnsiTheme="minorHAnsi" w:cstheme="minorHAnsi"/>
                <w:bCs/>
                <w:sz w:val="20"/>
              </w:rPr>
              <w:t xml:space="preserve"> i instalacje wszystkich sterowników, aplikacji dostarczonych w obrazie systemu operacyjnego producenta, </w:t>
            </w:r>
            <w:proofErr w:type="spellStart"/>
            <w:r w:rsidRPr="009771C7">
              <w:rPr>
                <w:rFonts w:asciiTheme="minorHAnsi" w:hAnsiTheme="minorHAnsi" w:cstheme="minorHAnsi"/>
                <w:bCs/>
                <w:sz w:val="20"/>
              </w:rPr>
              <w:t>BIOS’u</w:t>
            </w:r>
            <w:proofErr w:type="spellEnd"/>
            <w:r w:rsidRPr="009771C7">
              <w:rPr>
                <w:rFonts w:asciiTheme="minorHAnsi" w:hAnsiTheme="minorHAnsi" w:cstheme="minorHAnsi"/>
                <w:bCs/>
                <w:sz w:val="20"/>
              </w:rPr>
              <w:t xml:space="preserve"> z certyfikatem zgodności producenta do najnowszej dostępnej wersji,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 sprawdzenie przed zainstalowaniem wszystkich sterowników, aplikacji oraz BIOS bezpośrednio na stronie producenta przy użyciu połączenia internetowego z automatycznym </w:t>
            </w:r>
            <w:proofErr w:type="spellStart"/>
            <w:r w:rsidRPr="009771C7">
              <w:rPr>
                <w:rFonts w:asciiTheme="minorHAnsi" w:hAnsiTheme="minorHAnsi" w:cstheme="minorHAnsi"/>
                <w:bCs/>
                <w:sz w:val="20"/>
              </w:rPr>
              <w:t>przekierowaniem</w:t>
            </w:r>
            <w:proofErr w:type="spellEnd"/>
            <w:r w:rsidRPr="009771C7">
              <w:rPr>
                <w:rFonts w:asciiTheme="minorHAnsi" w:hAnsiTheme="minorHAnsi" w:cstheme="minorHAnsi"/>
                <w:bCs/>
                <w:sz w:val="20"/>
              </w:rPr>
              <w:t xml:space="preserve"> w celu uzyskania informacji o: poprawkach i usprawnieniach dotyczących aktualizacji, dacie wydania ostatniej aktualizacji, priorytecie aktualizacji, zgodności z systemami operacyjnymi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lastRenderedPageBreak/>
              <w:t>- dostęp do wykazu najnowszych aktualizacji z podziałem na krytyczne (wymagające natychmiastowej instalacji), rekomendowane i opcjonalne</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 włączenie/wyłączenie funkcji automatycznego restartu w przypadku, kiedy jest wymagany przy instalacji sterownika, aplikacji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sprawdzenie historii aktualizacji z informacją, jakie sterowniki były instalowane z dokładną datą i wersją (rewizja wydania)</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xml:space="preserve">- dostęp do wykaz wymaganych sterowników, aplikacji, </w:t>
            </w:r>
            <w:proofErr w:type="spellStart"/>
            <w:r w:rsidRPr="009771C7">
              <w:rPr>
                <w:rFonts w:asciiTheme="minorHAnsi" w:hAnsiTheme="minorHAnsi" w:cstheme="minorHAnsi"/>
                <w:bCs/>
                <w:sz w:val="20"/>
              </w:rPr>
              <w:t>BIOS’u</w:t>
            </w:r>
            <w:proofErr w:type="spellEnd"/>
            <w:r w:rsidRPr="009771C7">
              <w:rPr>
                <w:rFonts w:asciiTheme="minorHAnsi" w:hAnsiTheme="minorHAnsi" w:cstheme="minorHAnsi"/>
                <w:bCs/>
                <w:sz w:val="20"/>
              </w:rPr>
              <w:t xml:space="preserve"> z informacją o zainstalowanej obecnie wersji dla oferowanego komputera z możliwością exportu do pliku o rozszerzeniu *.</w:t>
            </w:r>
            <w:proofErr w:type="spellStart"/>
            <w:r w:rsidRPr="009771C7">
              <w:rPr>
                <w:rFonts w:asciiTheme="minorHAnsi" w:hAnsiTheme="minorHAnsi" w:cstheme="minorHAnsi"/>
                <w:bCs/>
                <w:sz w:val="20"/>
              </w:rPr>
              <w:t>xml</w:t>
            </w:r>
            <w:proofErr w:type="spellEnd"/>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 dostęp do raportu uwzględniającego informacje o znalezionych, pobranych i zainstalowanych aktualizacjach z informacją, jakich komponentów dotyczyły, możliwość exportu takiego raportu do pliku *.</w:t>
            </w:r>
            <w:proofErr w:type="spellStart"/>
            <w:r w:rsidRPr="009771C7">
              <w:rPr>
                <w:rFonts w:asciiTheme="minorHAnsi" w:hAnsiTheme="minorHAnsi" w:cstheme="minorHAnsi"/>
                <w:bCs/>
                <w:sz w:val="20"/>
              </w:rPr>
              <w:t>xml</w:t>
            </w:r>
            <w:proofErr w:type="spellEnd"/>
            <w:r w:rsidRPr="009771C7">
              <w:rPr>
                <w:rFonts w:asciiTheme="minorHAnsi" w:hAnsiTheme="minorHAnsi" w:cstheme="minorHAnsi"/>
                <w:bCs/>
                <w:sz w:val="20"/>
              </w:rPr>
              <w:t xml:space="preserve"> </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Raport musi zawierać datę i godzinę podjętych i wykonanych akcji/zadań w przedziale czasowym min. 1 roku.</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W ofercie należy podać nazwę oprogramowania</w:t>
            </w:r>
          </w:p>
        </w:tc>
      </w:tr>
      <w:tr w:rsidR="008C2381" w:rsidRPr="009771C7" w:rsidTr="002A1DBD">
        <w:tc>
          <w:tcPr>
            <w:tcW w:w="832" w:type="pct"/>
            <w:shd w:val="clear" w:color="auto" w:fill="F2F2F2" w:themeFill="background1" w:themeFillShade="F2"/>
          </w:tcPr>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lastRenderedPageBreak/>
              <w:t xml:space="preserve">Dodatkowe </w:t>
            </w:r>
            <w:r>
              <w:rPr>
                <w:rFonts w:asciiTheme="minorHAnsi" w:hAnsiTheme="minorHAnsi" w:cstheme="minorHAnsi"/>
                <w:bCs/>
                <w:sz w:val="20"/>
              </w:rPr>
              <w:t>zabezpieczające</w:t>
            </w:r>
            <w:r w:rsidRPr="009771C7">
              <w:rPr>
                <w:rFonts w:asciiTheme="minorHAnsi" w:hAnsiTheme="minorHAnsi" w:cstheme="minorHAnsi"/>
                <w:bCs/>
                <w:sz w:val="20"/>
              </w:rPr>
              <w:t xml:space="preserve"> – w formularzu oferty należy podać pełną nazwę oferowanego oprogramowania</w:t>
            </w:r>
          </w:p>
        </w:tc>
        <w:tc>
          <w:tcPr>
            <w:tcW w:w="4168" w:type="pct"/>
            <w:gridSpan w:val="2"/>
          </w:tcPr>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System chroniący przed zagrożeniami, posiadający certyfikaty</w:t>
            </w:r>
            <w:r>
              <w:rPr>
                <w:rFonts w:asciiTheme="minorHAnsi" w:hAnsiTheme="minorHAnsi" w:cstheme="minorHAnsi"/>
                <w:sz w:val="20"/>
              </w:rPr>
              <w:t>:</w:t>
            </w:r>
            <w:r w:rsidRPr="009771C7">
              <w:rPr>
                <w:rFonts w:asciiTheme="minorHAnsi" w:hAnsiTheme="minorHAnsi" w:cstheme="minorHAnsi"/>
                <w:sz w:val="20"/>
              </w:rPr>
              <w:t xml:space="preserve"> OPSWAT</w:t>
            </w:r>
            <w:r>
              <w:rPr>
                <w:rFonts w:asciiTheme="minorHAnsi" w:hAnsiTheme="minorHAnsi" w:cstheme="minorHAnsi"/>
                <w:sz w:val="20"/>
              </w:rPr>
              <w:t xml:space="preserve"> </w:t>
            </w:r>
            <w:proofErr w:type="spellStart"/>
            <w:r>
              <w:rPr>
                <w:rFonts w:asciiTheme="minorHAnsi" w:hAnsiTheme="minorHAnsi" w:cstheme="minorHAnsi"/>
                <w:sz w:val="20"/>
              </w:rPr>
              <w:t>Platinum</w:t>
            </w:r>
            <w:proofErr w:type="spellEnd"/>
            <w:r w:rsidRPr="009771C7">
              <w:rPr>
                <w:rFonts w:asciiTheme="minorHAnsi" w:hAnsiTheme="minorHAnsi" w:cstheme="minorHAnsi"/>
                <w:sz w:val="20"/>
              </w:rPr>
              <w:t xml:space="preserve">, </w:t>
            </w:r>
            <w:r w:rsidRPr="00404FA9">
              <w:rPr>
                <w:rFonts w:asciiTheme="minorHAnsi" w:hAnsiTheme="minorHAnsi" w:cstheme="minorHAnsi"/>
                <w:sz w:val="20"/>
              </w:rPr>
              <w:t xml:space="preserve">AV-Test ‘Top </w:t>
            </w:r>
            <w:proofErr w:type="spellStart"/>
            <w:r w:rsidRPr="00404FA9">
              <w:rPr>
                <w:rFonts w:asciiTheme="minorHAnsi" w:hAnsiTheme="minorHAnsi" w:cstheme="minorHAnsi"/>
                <w:sz w:val="20"/>
              </w:rPr>
              <w:t>Product</w:t>
            </w:r>
            <w:proofErr w:type="spellEnd"/>
            <w:r w:rsidRPr="00404FA9">
              <w:rPr>
                <w:rFonts w:asciiTheme="minorHAnsi" w:hAnsiTheme="minorHAnsi" w:cstheme="minorHAnsi"/>
                <w:sz w:val="20"/>
              </w:rPr>
              <w:t>’</w:t>
            </w:r>
            <w:r w:rsidRPr="009771C7">
              <w:rPr>
                <w:rFonts w:asciiTheme="minorHAnsi" w:hAnsiTheme="minorHAnsi" w:cstheme="minorHAnsi"/>
                <w:sz w:val="20"/>
              </w:rPr>
              <w:t xml:space="preserve">, AV </w:t>
            </w:r>
            <w:proofErr w:type="spellStart"/>
            <w:r w:rsidRPr="009771C7">
              <w:rPr>
                <w:rFonts w:asciiTheme="minorHAnsi" w:hAnsiTheme="minorHAnsi" w:cstheme="minorHAnsi"/>
                <w:sz w:val="20"/>
              </w:rPr>
              <w:t>Comperative</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Advance</w:t>
            </w:r>
            <w:proofErr w:type="spellEnd"/>
            <w:r w:rsidRPr="009771C7">
              <w:rPr>
                <w:rFonts w:asciiTheme="minorHAnsi" w:hAnsiTheme="minorHAnsi" w:cstheme="minorHAnsi"/>
                <w:sz w:val="20"/>
              </w:rPr>
              <w:t xml:space="preserve"> +</w:t>
            </w:r>
            <w:r>
              <w:rPr>
                <w:rFonts w:asciiTheme="minorHAnsi" w:hAnsiTheme="minorHAnsi" w:cstheme="minorHAnsi"/>
                <w:sz w:val="20"/>
              </w:rPr>
              <w:t xml:space="preserve">, ISO 27001 </w:t>
            </w:r>
            <w:r w:rsidRPr="009771C7">
              <w:rPr>
                <w:rFonts w:asciiTheme="minorHAnsi" w:hAnsiTheme="minorHAnsi" w:cstheme="minorHAnsi"/>
                <w:sz w:val="20"/>
              </w:rPr>
              <w:t>. Silnik musi umożliwiać co najmniej:</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wykrywanie i blokowania plików ze szkodliwą zawartością, w tym osadzonych/skompresowanych plików, które używają czasie rzeczywistym algorytmów kompresji,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wykrywanie i usuwanie plików typu </w:t>
            </w:r>
            <w:proofErr w:type="spellStart"/>
            <w:r w:rsidRPr="009771C7">
              <w:rPr>
                <w:rFonts w:asciiTheme="minorHAnsi" w:hAnsiTheme="minorHAnsi" w:cstheme="minorHAnsi"/>
                <w:sz w:val="20"/>
              </w:rPr>
              <w:t>rootkit</w:t>
            </w:r>
            <w:proofErr w:type="spellEnd"/>
            <w:r w:rsidRPr="009771C7">
              <w:rPr>
                <w:rFonts w:asciiTheme="minorHAnsi" w:hAnsiTheme="minorHAnsi" w:cstheme="minorHAnsi"/>
                <w:sz w:val="20"/>
              </w:rPr>
              <w:t xml:space="preserve"> oraz złośliwego oprogramowania, również przy użyciu technik behawioralnych,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stosowanie kwarantanny,</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wykrywanie i usuwanie fałszywego oprogramowania bezpieczeństwa (</w:t>
            </w:r>
            <w:proofErr w:type="spellStart"/>
            <w:r w:rsidRPr="009771C7">
              <w:rPr>
                <w:rFonts w:asciiTheme="minorHAnsi" w:hAnsiTheme="minorHAnsi" w:cstheme="minorHAnsi"/>
                <w:sz w:val="20"/>
              </w:rPr>
              <w:t>roguewear</w:t>
            </w:r>
            <w:proofErr w:type="spellEnd"/>
            <w:r w:rsidRPr="009771C7">
              <w:rPr>
                <w:rFonts w:asciiTheme="minorHAnsi" w:hAnsiTheme="minorHAnsi" w:cstheme="minorHAnsi"/>
                <w:sz w:val="20"/>
              </w:rPr>
              <w:t>)</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skanowanie urządzeń USB natychmiast po podłączeniu,</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automatyczne odłączanie zainfekowanej końcówki od sieci,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skanowanie plików w czasie rzeczywistym, na żądanie, w interwałach czasowych lub poprzez harmonogram, w sposób w pełni konfigurowalny w stosunku do podejmowanych akcji w przypadku wykrycia zagrożenia, z możliwością wykluczenia typu pliku lub lokalizacji.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Zarządzanie „aktywami” stacji klienckiej, zbierające informacje co najmniej o nazwie komputera, producencie i modelu komputera, przynależności do grupy roboczej/domeny, szczegółach systemu operacyjnego, lokalnych kontach użytkowników, dacie i godzinie uruchomienia i ostatniego restartu komputera, parametrach sprzętowych (</w:t>
            </w:r>
            <w:proofErr w:type="spellStart"/>
            <w:r w:rsidRPr="009771C7">
              <w:rPr>
                <w:rFonts w:asciiTheme="minorHAnsi" w:hAnsiTheme="minorHAnsi" w:cstheme="minorHAnsi"/>
                <w:sz w:val="20"/>
              </w:rPr>
              <w:t>proc.,RAM</w:t>
            </w:r>
            <w:proofErr w:type="spellEnd"/>
            <w:r w:rsidRPr="009771C7">
              <w:rPr>
                <w:rFonts w:asciiTheme="minorHAnsi" w:hAnsiTheme="minorHAnsi" w:cstheme="minorHAnsi"/>
                <w:sz w:val="20"/>
              </w:rPr>
              <w:t xml:space="preserve">, SN, </w:t>
            </w:r>
            <w:proofErr w:type="spellStart"/>
            <w:r w:rsidRPr="009771C7">
              <w:rPr>
                <w:rFonts w:asciiTheme="minorHAnsi" w:hAnsiTheme="minorHAnsi" w:cstheme="minorHAnsi"/>
                <w:sz w:val="20"/>
              </w:rPr>
              <w:t>storage</w:t>
            </w:r>
            <w:proofErr w:type="spellEnd"/>
            <w:r w:rsidRPr="009771C7">
              <w:rPr>
                <w:rFonts w:asciiTheme="minorHAnsi" w:hAnsiTheme="minorHAnsi" w:cstheme="minorHAnsi"/>
                <w:sz w:val="20"/>
              </w:rPr>
              <w:t>), BIOS, interfejsach sieciowych, dołączonych peryferiach.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posiadać moduł ochrony IDS/IPS</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posiadać mechanizm wykrywania skanowania portów</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Musi pozwalać na wykluczenie adresów IP oraz </w:t>
            </w:r>
            <w:proofErr w:type="spellStart"/>
            <w:r w:rsidRPr="009771C7">
              <w:rPr>
                <w:rFonts w:asciiTheme="minorHAnsi" w:hAnsiTheme="minorHAnsi" w:cstheme="minorHAnsi"/>
                <w:sz w:val="20"/>
              </w:rPr>
              <w:t>PORTów</w:t>
            </w:r>
            <w:proofErr w:type="spellEnd"/>
            <w:r w:rsidRPr="009771C7">
              <w:rPr>
                <w:rFonts w:asciiTheme="minorHAnsi" w:hAnsiTheme="minorHAnsi" w:cstheme="minorHAnsi"/>
                <w:sz w:val="20"/>
              </w:rPr>
              <w:t xml:space="preserve"> TCP/IP z modułu wykrywania skanowania portów</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Moduł wykrywania ataków </w:t>
            </w:r>
            <w:proofErr w:type="spellStart"/>
            <w:r w:rsidRPr="009771C7">
              <w:rPr>
                <w:rFonts w:asciiTheme="minorHAnsi" w:hAnsiTheme="minorHAnsi" w:cstheme="minorHAnsi"/>
                <w:sz w:val="20"/>
              </w:rPr>
              <w:t>DDoS</w:t>
            </w:r>
            <w:proofErr w:type="spellEnd"/>
            <w:r w:rsidRPr="009771C7">
              <w:rPr>
                <w:rFonts w:asciiTheme="minorHAnsi" w:hAnsiTheme="minorHAnsi" w:cstheme="minorHAnsi"/>
                <w:sz w:val="20"/>
              </w:rPr>
              <w:t xml:space="preserve"> musi posiadać kilka poziomów wrażliwości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Szyfrowanie danych: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Oprogramowanie do szyfrowania, chroniące dane rezydujące na punktach końcowych za pomocą silnych algorytmów szyfrowania takich jak AES, RC6, SERPENT i DWAFISH. Pełne szyfrowanie dysków działających m.in. na komputerach z systemem Windows.</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Zapobiegające utracie danych z powodu utraty / kradzieży punktu końcowego. Oprogramowanie szyfruje całą zawartość na urządzeniach przenośnych, takich jak Pen </w:t>
            </w:r>
            <w:proofErr w:type="spellStart"/>
            <w:r w:rsidRPr="009771C7">
              <w:rPr>
                <w:rFonts w:asciiTheme="minorHAnsi" w:hAnsiTheme="minorHAnsi" w:cstheme="minorHAnsi"/>
                <w:sz w:val="20"/>
              </w:rPr>
              <w:t>Drive'y</w:t>
            </w:r>
            <w:proofErr w:type="spellEnd"/>
            <w:r w:rsidRPr="009771C7">
              <w:rPr>
                <w:rFonts w:asciiTheme="minorHAnsi" w:hAnsiTheme="minorHAnsi" w:cstheme="minorHAnsi"/>
                <w:sz w:val="20"/>
              </w:rPr>
              <w:t>, dyski USB i udostępnia je tylko autoryzowanym użytkownikom.</w:t>
            </w:r>
          </w:p>
          <w:p w:rsidR="008C2381" w:rsidRPr="009771C7" w:rsidRDefault="008C2381" w:rsidP="002A1DBD">
            <w:pPr>
              <w:spacing w:line="0" w:lineRule="atLeast"/>
              <w:rPr>
                <w:rFonts w:asciiTheme="minorHAnsi" w:hAnsiTheme="minorHAnsi" w:cstheme="minorHAnsi"/>
                <w:sz w:val="20"/>
              </w:rPr>
            </w:pP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Oprogramowanie umożliwia blokowanie wybranych przez administratora urządzeń zewnętrznych podłączanych do stacji końcowej.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Oprogramowanie umożliwia zdefiniowanie listy zaufanych urządzeń, które nie będą blokowane podczas podłączanie do stacji końcowej.</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Istnieje możliwość blokady zapisywanie plików na zewnętrznych dyskach USB oraz blokada możliwości uruchamiania oprogramowania z takich dysków. Blokada ta powinna umożliwiać korzystanie z pozostałych danych zapisanych na takich dyskach.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lastRenderedPageBreak/>
              <w:t>Interfejs zarządzania wyświetla monity o zbliżającym się zakończeniu licencji, a także powiadamia o zakończeniu licencji.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Dodatkowy moduł chroniący dane użytkownika przed działaniem oprogramowania </w:t>
            </w:r>
            <w:proofErr w:type="spellStart"/>
            <w:r w:rsidRPr="009771C7">
              <w:rPr>
                <w:rFonts w:asciiTheme="minorHAnsi" w:hAnsiTheme="minorHAnsi" w:cstheme="minorHAnsi"/>
                <w:sz w:val="20"/>
              </w:rPr>
              <w:t>ransomware</w:t>
            </w:r>
            <w:proofErr w:type="spellEnd"/>
            <w:r w:rsidRPr="009771C7">
              <w:rPr>
                <w:rFonts w:asciiTheme="minorHAnsi" w:hAnsiTheme="minorHAnsi" w:cstheme="minorHAnsi"/>
                <w:sz w:val="20"/>
              </w:rPr>
              <w:t>. Działanie modułu polega na ograniczeniu możliwości modyfikowania chronionych plików, tylko procesom systemowym oraz zaufanym aplikacjom.</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Możliwość dowolnego zdefiniowania dodatkowo chronionych folderów zawierających wrażliwe dane użytkownika.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Możliwość zdefiniowania zaufanych folderów. Aplikacje uruchamiane z zaufanych folderów mają możliwość modyfikowania plików objętych dodatkową ochroną </w:t>
            </w:r>
            <w:proofErr w:type="spellStart"/>
            <w:r w:rsidRPr="009771C7">
              <w:rPr>
                <w:rFonts w:asciiTheme="minorHAnsi" w:hAnsiTheme="minorHAnsi" w:cstheme="minorHAnsi"/>
                <w:sz w:val="20"/>
              </w:rPr>
              <w:t>any</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ransomware</w:t>
            </w:r>
            <w:proofErr w:type="spellEnd"/>
            <w:r w:rsidRPr="009771C7">
              <w:rPr>
                <w:rFonts w:asciiTheme="minorHAnsi" w:hAnsiTheme="minorHAnsi" w:cstheme="minorHAnsi"/>
                <w:sz w:val="20"/>
              </w:rPr>
              <w:t>.</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Zaawansowane monitorowanie krytycznych danych użytkownika zapewniające zapobiegające prze niezamierzonymi manipulacjami – ataki </w:t>
            </w:r>
            <w:proofErr w:type="spellStart"/>
            <w:r w:rsidRPr="009771C7">
              <w:rPr>
                <w:rFonts w:asciiTheme="minorHAnsi" w:hAnsiTheme="minorHAnsi" w:cstheme="minorHAnsi"/>
                <w:sz w:val="20"/>
              </w:rPr>
              <w:t>ransomware</w:t>
            </w:r>
            <w:proofErr w:type="spellEnd"/>
            <w:r w:rsidRPr="009771C7">
              <w:rPr>
                <w:rFonts w:asciiTheme="minorHAnsi" w:hAnsiTheme="minorHAnsi" w:cstheme="minorHAnsi"/>
                <w:sz w:val="20"/>
              </w:rPr>
              <w:t xml:space="preserve">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Centralna konsola zarządzająca zainstalowana na serwerze musi umożliwiać co najmniej:</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Przechowywanie danych w bazie typu SQL, z której korzysta funkcjonalność raportowania konsoli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Zdalną instalację lub deinstalację oprogramowania ochronnego                   na stacjach klienckich, na pojedynczych punktach, zakresie adresów IP lub grupie z </w:t>
            </w:r>
            <w:proofErr w:type="spellStart"/>
            <w:r w:rsidRPr="009771C7">
              <w:rPr>
                <w:rFonts w:asciiTheme="minorHAnsi" w:hAnsiTheme="minorHAnsi" w:cstheme="minorHAnsi"/>
                <w:sz w:val="20"/>
              </w:rPr>
              <w:t>ActiveDirectory</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Tworzenie paczek instalacyjnych oprogramowania klienckiego, z rozróżnieniem docelowej platformy systemowej (w tym 32 lub 64bit dla systemów Windows i Linux), w formie plików .</w:t>
            </w:r>
            <w:proofErr w:type="spellStart"/>
            <w:r w:rsidRPr="009771C7">
              <w:rPr>
                <w:rFonts w:asciiTheme="minorHAnsi" w:hAnsiTheme="minorHAnsi" w:cstheme="minorHAnsi"/>
                <w:sz w:val="20"/>
              </w:rPr>
              <w:t>exe</w:t>
            </w:r>
            <w:proofErr w:type="spellEnd"/>
            <w:r w:rsidRPr="009771C7">
              <w:rPr>
                <w:rFonts w:asciiTheme="minorHAnsi" w:hAnsiTheme="minorHAnsi" w:cstheme="minorHAnsi"/>
                <w:sz w:val="20"/>
              </w:rPr>
              <w:t xml:space="preserve">       lub .</w:t>
            </w:r>
            <w:proofErr w:type="spellStart"/>
            <w:r w:rsidRPr="009771C7">
              <w:rPr>
                <w:rFonts w:asciiTheme="minorHAnsi" w:hAnsiTheme="minorHAnsi" w:cstheme="minorHAnsi"/>
                <w:sz w:val="20"/>
              </w:rPr>
              <w:t>msi</w:t>
            </w:r>
            <w:proofErr w:type="spellEnd"/>
            <w:r w:rsidRPr="009771C7">
              <w:rPr>
                <w:rFonts w:asciiTheme="minorHAnsi" w:hAnsiTheme="minorHAnsi" w:cstheme="minorHAnsi"/>
                <w:sz w:val="20"/>
              </w:rPr>
              <w:t xml:space="preserve"> dla Windows oraz formatach dla systemów Linux</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Centralną dystrybucję na zarządzanych klientach uaktualnień definicji ochronnych, których źródłem będzie plik lub pliki wgrane na serwer konsoli przez administratora, bez dostępu do sieci Internet.</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Raportowanie dostępne przez dedykowany panel w konsoli, z prezentacją tabelaryczną i graficzną, z możliwością automatycznego czyszczenia starych raportów, z możliwością eksportu do formatów CSV i PDF, prezentujące dane zarówno z logowania zdarzeń serwera konsoli, jak i dane/raporty zbierane ze stacji klienckich, w tym raporty o oprogramowaniu zainstalowanym na stacjach klienckich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Definiowanie struktury zarządzanie opartej o role i polityki, w których każda z funkcjonalności musi mieć możliwość konfiguracji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Zarządzanie przez Chmurę:</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1.</w:t>
            </w:r>
            <w:r w:rsidRPr="009771C7">
              <w:rPr>
                <w:rFonts w:asciiTheme="minorHAnsi" w:hAnsiTheme="minorHAnsi" w:cstheme="minorHAnsi"/>
                <w:sz w:val="20"/>
              </w:rPr>
              <w:tab/>
              <w:t>Musi być zdolny do wyświetlania statusu bezpieczeństwa konsolidacyjnego urządzeń końcowych zainstalowanych w różnych biurach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2.</w:t>
            </w:r>
            <w:r w:rsidRPr="009771C7">
              <w:rPr>
                <w:rFonts w:asciiTheme="minorHAnsi" w:hAnsiTheme="minorHAnsi" w:cstheme="minorHAnsi"/>
                <w:sz w:val="20"/>
              </w:rPr>
              <w:tab/>
              <w:t>Musi posiadać zdolność do tworzenia kopii zapasowych i przywracania plików konfiguracyjnych z serwera chmury</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3.</w:t>
            </w:r>
            <w:r w:rsidRPr="009771C7">
              <w:rPr>
                <w:rFonts w:asciiTheme="minorHAnsi" w:hAnsiTheme="minorHAnsi" w:cstheme="minorHAnsi"/>
                <w:sz w:val="20"/>
              </w:rPr>
              <w:tab/>
              <w:t>Musi posiadać zdolność do promowania skutecznej polityki lokalnej do globalnej i zastosować ją globalnie do wszystkich biur</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4.</w:t>
            </w:r>
            <w:r w:rsidRPr="009771C7">
              <w:rPr>
                <w:rFonts w:asciiTheme="minorHAnsi" w:hAnsiTheme="minorHAnsi" w:cstheme="minorHAnsi"/>
                <w:sz w:val="20"/>
              </w:rPr>
              <w:tab/>
              <w:t>Musi mieć możliwość tworzenia wielu poziomów dostępu do hierarchii aby umożliwić dostęp do Chmury zgodnie z przypisaniem do grupy</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5.</w:t>
            </w:r>
            <w:r w:rsidRPr="009771C7">
              <w:rPr>
                <w:rFonts w:asciiTheme="minorHAnsi" w:hAnsiTheme="minorHAnsi" w:cstheme="minorHAnsi"/>
                <w:sz w:val="20"/>
              </w:rPr>
              <w:tab/>
              <w:t>Musi posiadać dostęp do konsoli lokalnie z dowolnego miejsca w nagłych przypadkach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6.</w:t>
            </w:r>
            <w:r w:rsidRPr="009771C7">
              <w:rPr>
                <w:rFonts w:asciiTheme="minorHAnsi" w:hAnsiTheme="minorHAnsi" w:cstheme="minorHAnsi"/>
                <w:sz w:val="20"/>
              </w:rPr>
              <w:tab/>
              <w:t>Musi posiadać możliwość przeglądania raportów podsumowujących dla wszystkich urządzeń</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7.</w:t>
            </w:r>
            <w:r w:rsidRPr="009771C7">
              <w:rPr>
                <w:rFonts w:asciiTheme="minorHAnsi" w:hAnsiTheme="minorHAnsi" w:cstheme="minorHAnsi"/>
                <w:sz w:val="20"/>
              </w:rPr>
              <w:tab/>
              <w:t>Musi posiadać zdolność do uzyskania raportów i powiadomień za pomocą poczty elektronicznej</w:t>
            </w:r>
          </w:p>
          <w:p w:rsidR="008C2381" w:rsidRPr="009771C7" w:rsidRDefault="008C2381" w:rsidP="002A1DBD">
            <w:pPr>
              <w:spacing w:line="0" w:lineRule="atLeast"/>
              <w:rPr>
                <w:rFonts w:asciiTheme="minorHAnsi" w:hAnsiTheme="minorHAnsi" w:cstheme="minorHAnsi"/>
                <w:sz w:val="20"/>
              </w:rPr>
            </w:pP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Centralna konsola do zarządzania i monitorowania użycia zaszyfrowanych woluminów dyskowych, dystrybucji szyfrowania, polityk i centralnie zarządzanie informacjami odzyskiwania, niezbędnymi do uzyskania dostępu do zaszyfrowanych danych w nagłych przypadkach.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Aktualizacja oprogramowania w trybie </w:t>
            </w:r>
            <w:proofErr w:type="spellStart"/>
            <w:r w:rsidRPr="009771C7">
              <w:rPr>
                <w:rFonts w:asciiTheme="minorHAnsi" w:hAnsiTheme="minorHAnsi" w:cstheme="minorHAnsi"/>
                <w:sz w:val="20"/>
              </w:rPr>
              <w:t>offline</w:t>
            </w:r>
            <w:proofErr w:type="spellEnd"/>
            <w:r w:rsidRPr="009771C7">
              <w:rPr>
                <w:rFonts w:asciiTheme="minorHAnsi" w:hAnsiTheme="minorHAnsi" w:cstheme="minorHAnsi"/>
                <w:sz w:val="20"/>
              </w:rPr>
              <w:t>, za pomocą paczek aktualizacyjnych ściągniętych z dedykowanej witryny producenta oprogramowania.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1.</w:t>
            </w:r>
            <w:r w:rsidRPr="009771C7">
              <w:rPr>
                <w:rFonts w:asciiTheme="minorHAnsi" w:hAnsiTheme="minorHAnsi" w:cstheme="minorHAnsi"/>
                <w:sz w:val="20"/>
              </w:rPr>
              <w:tab/>
              <w:t>Serwer: centralna konsola zarządzająca oraz oprogramowanie chroniące serwer</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2.</w:t>
            </w:r>
            <w:r w:rsidRPr="009771C7">
              <w:rPr>
                <w:rFonts w:asciiTheme="minorHAnsi" w:hAnsiTheme="minorHAnsi" w:cstheme="minorHAnsi"/>
                <w:sz w:val="20"/>
              </w:rPr>
              <w:tab/>
              <w:t>Oprogramowanie klienckie, zarządzane z poziomu serwera.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System musi umożliwiać, w sposób centralnie zarządzany z konsoli na serwerze, co najmniej:</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różne ustawienia dostępu dla urządzeń: pełny dostęp, tylko do odczytu i blokowanie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funkcje przyznania praw dostępu dla nośników pamięci tj. USB, CD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funkcje regulowania połączeń </w:t>
            </w:r>
            <w:proofErr w:type="spellStart"/>
            <w:r w:rsidRPr="009771C7">
              <w:rPr>
                <w:rFonts w:asciiTheme="minorHAnsi" w:hAnsiTheme="minorHAnsi" w:cstheme="minorHAnsi"/>
                <w:sz w:val="20"/>
              </w:rPr>
              <w:t>WiFi</w:t>
            </w:r>
            <w:proofErr w:type="spellEnd"/>
            <w:r w:rsidRPr="009771C7">
              <w:rPr>
                <w:rFonts w:asciiTheme="minorHAnsi" w:hAnsiTheme="minorHAnsi" w:cstheme="minorHAnsi"/>
                <w:sz w:val="20"/>
              </w:rPr>
              <w:t xml:space="preserve"> i </w:t>
            </w:r>
            <w:proofErr w:type="spellStart"/>
            <w:r w:rsidRPr="009771C7">
              <w:rPr>
                <w:rFonts w:asciiTheme="minorHAnsi" w:hAnsiTheme="minorHAnsi" w:cstheme="minorHAnsi"/>
                <w:sz w:val="20"/>
              </w:rPr>
              <w:t>Bluetooth</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lastRenderedPageBreak/>
              <w:t>•</w:t>
            </w:r>
            <w:r w:rsidRPr="009771C7">
              <w:rPr>
                <w:rFonts w:asciiTheme="minorHAnsi" w:hAnsiTheme="minorHAnsi" w:cstheme="minorHAnsi"/>
                <w:sz w:val="20"/>
              </w:rPr>
              <w:tab/>
              <w:t>funkcje kontrolowania i regulowania użycia urządzeń peryferyjnych typu: drukarki, skanery i kamery internetowe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funkcję blokady lub zezwolenia na połączenie się z urządzeniami mobilnymi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funkcje blokowania dostępu dowolnemu urządzeniu</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tymczasowego dodania dostępu do urządzenia przez administratora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zdolność do szyfrowania zawartości USB i udostępniania go na punktach końcowych z zainstalowanym oprogramowaniem klienckim systemu</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zablokowania funkcjonalności portów USB, blokując dostęp urządzeniom innym niż klawiatura i myszka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zezwalania na dostęp tylko urządzeniom wcześniej dodanym przez administratora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możliwość zarządzani urządzeniami podłączanymi do końcówki, takimi jak </w:t>
            </w:r>
            <w:proofErr w:type="spellStart"/>
            <w:r w:rsidRPr="009771C7">
              <w:rPr>
                <w:rFonts w:asciiTheme="minorHAnsi" w:hAnsiTheme="minorHAnsi" w:cstheme="minorHAnsi"/>
                <w:sz w:val="20"/>
              </w:rPr>
              <w:t>iPhone</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iPad</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iPod</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Webcam</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card</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reader</w:t>
            </w:r>
            <w:proofErr w:type="spellEnd"/>
            <w:r w:rsidRPr="009771C7">
              <w:rPr>
                <w:rFonts w:asciiTheme="minorHAnsi" w:hAnsiTheme="minorHAnsi" w:cstheme="minorHAnsi"/>
                <w:sz w:val="20"/>
              </w:rPr>
              <w:t xml:space="preserve">, </w:t>
            </w:r>
            <w:proofErr w:type="spellStart"/>
            <w:r w:rsidRPr="009771C7">
              <w:rPr>
                <w:rFonts w:asciiTheme="minorHAnsi" w:hAnsiTheme="minorHAnsi" w:cstheme="minorHAnsi"/>
                <w:sz w:val="20"/>
              </w:rPr>
              <w:t>BlackBerry</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używania tylko zaufanych urządzeń sieciowych,      w tym urządzeń wskazanych na końcówkach klienckich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funkcję wirtualnej klawiatury</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możliwość blokowania każdej aplikacji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zablokowania aplikacji w oparciu o kategorie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dodania własnych aplikacji do listy zablokowanych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zdolność do tworzenia kompletnej listy aplikacji zainstalowanych na komputerach klientach poprzez konsole administracyjna na serwerze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dodawanie innych aplikacji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dodawanie aplikacji w formie </w:t>
            </w:r>
            <w:proofErr w:type="spellStart"/>
            <w:r w:rsidRPr="009771C7">
              <w:rPr>
                <w:rFonts w:asciiTheme="minorHAnsi" w:hAnsiTheme="minorHAnsi" w:cstheme="minorHAnsi"/>
                <w:sz w:val="20"/>
              </w:rPr>
              <w:t>portable</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możliwość wyboru pojedynczej aplikacji w konkretnej wersji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dodawanie aplikacji, których rozmiar pliku wykonywalnego ma wielkość do 200MB</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w:t>
            </w:r>
            <w:r w:rsidRPr="009771C7">
              <w:rPr>
                <w:rFonts w:asciiTheme="minorHAnsi" w:hAnsiTheme="minorHAnsi" w:cstheme="minorHAnsi"/>
                <w:sz w:val="20"/>
                <w:lang w:val="en-US"/>
              </w:rPr>
              <w:tab/>
            </w:r>
            <w:proofErr w:type="spellStart"/>
            <w:r w:rsidRPr="009771C7">
              <w:rPr>
                <w:rFonts w:asciiTheme="minorHAnsi" w:hAnsiTheme="minorHAnsi" w:cstheme="minorHAnsi"/>
                <w:sz w:val="20"/>
                <w:lang w:val="en-US"/>
              </w:rPr>
              <w:t>kategorie</w:t>
            </w:r>
            <w:proofErr w:type="spellEnd"/>
            <w:r w:rsidRPr="009771C7">
              <w:rPr>
                <w:rFonts w:asciiTheme="minorHAnsi" w:hAnsiTheme="minorHAnsi" w:cstheme="minorHAnsi"/>
                <w:sz w:val="20"/>
                <w:lang w:val="en-US"/>
              </w:rPr>
              <w:t xml:space="preserve"> </w:t>
            </w:r>
            <w:proofErr w:type="spellStart"/>
            <w:r w:rsidRPr="009771C7">
              <w:rPr>
                <w:rFonts w:asciiTheme="minorHAnsi" w:hAnsiTheme="minorHAnsi" w:cstheme="minorHAnsi"/>
                <w:sz w:val="20"/>
                <w:lang w:val="en-US"/>
              </w:rPr>
              <w:t>aplikacji</w:t>
            </w:r>
            <w:proofErr w:type="spellEnd"/>
            <w:r w:rsidRPr="009771C7">
              <w:rPr>
                <w:rFonts w:asciiTheme="minorHAnsi" w:hAnsiTheme="minorHAnsi" w:cstheme="minorHAnsi"/>
                <w:sz w:val="20"/>
                <w:lang w:val="en-US"/>
              </w:rPr>
              <w:t xml:space="preserve"> </w:t>
            </w:r>
            <w:proofErr w:type="spellStart"/>
            <w:r w:rsidRPr="009771C7">
              <w:rPr>
                <w:rFonts w:asciiTheme="minorHAnsi" w:hAnsiTheme="minorHAnsi" w:cstheme="minorHAnsi"/>
                <w:sz w:val="20"/>
                <w:lang w:val="en-US"/>
              </w:rPr>
              <w:t>typu</w:t>
            </w:r>
            <w:proofErr w:type="spellEnd"/>
            <w:r w:rsidRPr="009771C7">
              <w:rPr>
                <w:rFonts w:asciiTheme="minorHAnsi" w:hAnsiTheme="minorHAnsi" w:cstheme="minorHAnsi"/>
                <w:sz w:val="20"/>
                <w:lang w:val="en-US"/>
              </w:rPr>
              <w:t>: tuning software, toolbars, proxy, network tools, file sharing application, backup software,  encrypting tool</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generowania i wysyłania raportów o aktywności na różnych kanałach transmisji danych, takich jak wymienne urządzenia, udziały sieciowe czy schowki.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możliwość zablokowania funkcji </w:t>
            </w:r>
            <w:proofErr w:type="spellStart"/>
            <w:r w:rsidRPr="009771C7">
              <w:rPr>
                <w:rFonts w:asciiTheme="minorHAnsi" w:hAnsiTheme="minorHAnsi" w:cstheme="minorHAnsi"/>
                <w:sz w:val="20"/>
              </w:rPr>
              <w:t>Printscreen</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funkcje monitorowania przesyłu danych między aplikacjami zarówno na systemie operacyjnym Windows jak i </w:t>
            </w:r>
            <w:proofErr w:type="spellStart"/>
            <w:r w:rsidRPr="009771C7">
              <w:rPr>
                <w:rFonts w:asciiTheme="minorHAnsi" w:hAnsiTheme="minorHAnsi" w:cstheme="minorHAnsi"/>
                <w:sz w:val="20"/>
              </w:rPr>
              <w:t>OSx</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funkcje monitorowania i kontroli przepływu poufnych informacji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dodawania własnych zdefiniowanych słów/fraz do wyszukania w różnych typów plików</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blokowania plików w oparciu o ich rozszerzenie lub rodzaj</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monitorowania i zarządzania danymi udostępnianymi poprzez zasoby sieciowe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ochronę przed wyciekiem informacji na drukarki lokalne i sieciowe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ochrona zawartości schowka systemu</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ochrona przed wyciekiem informacji w poczcie e-mail w komunikacji SSL</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dodawania wyjątków dla domen, aplikacji i lokalizacji sieciowych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ochrona plików zamkniętych w archiwach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Zmiana rozszerzenia pliku nie może mieć znaczenia w ochronie plików przed wyciekiem</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tworzenia profilu DLP dla każdej polityki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wyświetlanie alertu dla użytkownika w chwili próby wykonania niepożądanego działania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ochrona przez wyciekiem plików poprzez programy typu p2p</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Monitorowanie zmian w plikach: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monitorowania działań związanych z obsługą plików, takich jak kopiowanie, usuwanie, przenoszenie na dyskach lokalnych, dyskach wymiennych i sieciowych.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Funkcje monitorowania określonych rodzajów plików.</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wykluczenia określonych plików/folderów dla procedury monitorowania.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Generator raportów do funkcjonalności monitora zmian w plikach.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lastRenderedPageBreak/>
              <w:t>•</w:t>
            </w:r>
            <w:r w:rsidRPr="009771C7">
              <w:rPr>
                <w:rFonts w:asciiTheme="minorHAnsi" w:hAnsiTheme="minorHAnsi" w:cstheme="minorHAnsi"/>
                <w:sz w:val="20"/>
              </w:rPr>
              <w:tab/>
              <w:t>możliwość śledzenia zmian we wszystkich plikach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śledzenia zmian w oprogramowaniu zainstalowanym na końcówkach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definiowana własnych typów plików</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Optymalizacja systemu operacyjnego stacji klienckich: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usuwanie tymczasowych plików, czyszczenie niepotrzebnych wpisów do rejestru oraz defragmentacji dysku</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optymalizacja w chwili startu systemu operacyjnego, przed jego całkowitym uruchomieniem</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możliwość zaplanowania optymalizacje na wskazanych stacjach klienckich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instruktaż stanowiskowy pracowników Zamawiającego</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dokumentacja techniczna w języku polskim</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Wspierane platformy i systemy operacyjne:</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1.</w:t>
            </w:r>
            <w:r w:rsidRPr="009771C7">
              <w:rPr>
                <w:rFonts w:asciiTheme="minorHAnsi" w:hAnsiTheme="minorHAnsi" w:cstheme="minorHAnsi"/>
                <w:sz w:val="20"/>
                <w:lang w:val="en-US"/>
              </w:rPr>
              <w:tab/>
              <w:t>Microsoft Windows XP/7/8/10/ Professional (32-bit/64-bit)</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2.</w:t>
            </w:r>
            <w:r w:rsidRPr="009771C7">
              <w:rPr>
                <w:rFonts w:asciiTheme="minorHAnsi" w:hAnsiTheme="minorHAnsi" w:cstheme="minorHAnsi"/>
                <w:sz w:val="20"/>
                <w:lang w:val="en-US"/>
              </w:rPr>
              <w:tab/>
              <w:t>Microsoft Windows Server Web / Standard / Enterprise/ Datacenter (32-bit/64-bit)</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3.</w:t>
            </w:r>
            <w:r w:rsidRPr="009771C7">
              <w:rPr>
                <w:rFonts w:asciiTheme="minorHAnsi" w:hAnsiTheme="minorHAnsi" w:cstheme="minorHAnsi"/>
                <w:sz w:val="20"/>
                <w:lang w:val="en-US"/>
              </w:rPr>
              <w:tab/>
              <w:t>Mac OS X, Mac OS 10</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4.</w:t>
            </w:r>
            <w:r w:rsidRPr="009771C7">
              <w:rPr>
                <w:rFonts w:asciiTheme="minorHAnsi" w:hAnsiTheme="minorHAnsi" w:cstheme="minorHAnsi"/>
                <w:sz w:val="20"/>
                <w:lang w:val="en-US"/>
              </w:rPr>
              <w:tab/>
              <w:t xml:space="preserve">Linux 64-bit, </w:t>
            </w:r>
            <w:proofErr w:type="spellStart"/>
            <w:r w:rsidRPr="009771C7">
              <w:rPr>
                <w:rFonts w:asciiTheme="minorHAnsi" w:hAnsiTheme="minorHAnsi" w:cstheme="minorHAnsi"/>
                <w:sz w:val="20"/>
                <w:lang w:val="en-US"/>
              </w:rPr>
              <w:t>Ubuntu</w:t>
            </w:r>
            <w:proofErr w:type="spellEnd"/>
            <w:r w:rsidRPr="009771C7">
              <w:rPr>
                <w:rFonts w:asciiTheme="minorHAnsi" w:hAnsiTheme="minorHAnsi" w:cstheme="minorHAnsi"/>
                <w:sz w:val="20"/>
                <w:lang w:val="en-US"/>
              </w:rPr>
              <w:t xml:space="preserve">, </w:t>
            </w:r>
            <w:proofErr w:type="spellStart"/>
            <w:r w:rsidRPr="009771C7">
              <w:rPr>
                <w:rFonts w:asciiTheme="minorHAnsi" w:hAnsiTheme="minorHAnsi" w:cstheme="minorHAnsi"/>
                <w:sz w:val="20"/>
                <w:lang w:val="en-US"/>
              </w:rPr>
              <w:t>openSUSE</w:t>
            </w:r>
            <w:proofErr w:type="spellEnd"/>
            <w:r w:rsidRPr="009771C7">
              <w:rPr>
                <w:rFonts w:asciiTheme="minorHAnsi" w:hAnsiTheme="minorHAnsi" w:cstheme="minorHAnsi"/>
                <w:sz w:val="20"/>
                <w:lang w:val="en-US"/>
              </w:rPr>
              <w:t xml:space="preserve">, Fedora 14-25, </w:t>
            </w:r>
            <w:proofErr w:type="spellStart"/>
            <w:r w:rsidRPr="009771C7">
              <w:rPr>
                <w:rFonts w:asciiTheme="minorHAnsi" w:hAnsiTheme="minorHAnsi" w:cstheme="minorHAnsi"/>
                <w:sz w:val="20"/>
                <w:lang w:val="en-US"/>
              </w:rPr>
              <w:t>RedHat</w:t>
            </w:r>
            <w:proofErr w:type="spellEnd"/>
          </w:p>
          <w:p w:rsidR="008C2381" w:rsidRPr="009771C7" w:rsidRDefault="008C2381" w:rsidP="002A1DBD">
            <w:pPr>
              <w:spacing w:line="0" w:lineRule="atLeast"/>
              <w:rPr>
                <w:rFonts w:asciiTheme="minorHAnsi" w:hAnsiTheme="minorHAnsi" w:cstheme="minorHAnsi"/>
                <w:sz w:val="20"/>
                <w:lang w:val="en-US"/>
              </w:rPr>
            </w:pP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Platforma do zarządzania dla Android i </w:t>
            </w:r>
            <w:proofErr w:type="spellStart"/>
            <w:r w:rsidRPr="009771C7">
              <w:rPr>
                <w:rFonts w:asciiTheme="minorHAnsi" w:hAnsiTheme="minorHAnsi" w:cstheme="minorHAnsi"/>
                <w:sz w:val="20"/>
              </w:rPr>
              <w:t>iOS</w:t>
            </w:r>
            <w:proofErr w:type="spellEnd"/>
            <w:r w:rsidRPr="009771C7">
              <w:rPr>
                <w:rFonts w:asciiTheme="minorHAnsi" w:hAnsiTheme="minorHAnsi" w:cstheme="minorHAnsi"/>
                <w:sz w:val="20"/>
              </w:rPr>
              <w:t>:</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Musi zapewnić kompleksowy system ochrony i zarządzania urządzeniami mobilnymi z systemami Android oraz </w:t>
            </w:r>
            <w:proofErr w:type="spellStart"/>
            <w:r w:rsidRPr="009771C7">
              <w:rPr>
                <w:rFonts w:asciiTheme="minorHAnsi" w:hAnsiTheme="minorHAnsi" w:cstheme="minorHAnsi"/>
                <w:sz w:val="20"/>
              </w:rPr>
              <w:t>iOS</w:t>
            </w:r>
            <w:proofErr w:type="spellEnd"/>
            <w:r w:rsidRPr="009771C7">
              <w:rPr>
                <w:rFonts w:asciiTheme="minorHAnsi" w:hAnsiTheme="minorHAnsi" w:cstheme="minorHAnsi"/>
                <w:sz w:val="20"/>
              </w:rPr>
              <w:t xml:space="preserve"> a także ich ochronę</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Funkcjonalność musi być realizowana za pomocą platformy w chmurze bez infrastruktury wewnątrz sieci firmowej.</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Zarządzanie użytkownikiem</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umożliwiać zarządzanie użytkownikami przypisanymi do numerów telefonów oraz adresów email</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umożliwiać przypisanie atrybutów do użytkowników, co najmniej: Imię, Nazwisko, adres email, Departament, numer telefonu stacjonarnego, numer telefonu komórkowego, typ użytkownika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posiadać możliwość sprawdzenia listy urządzeń przypisanych użytkownikowi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posiadać możliwość eksportu danych użytkownika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Zarządzanie urządzeniem</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umożliwiać wdrożenie przez Email, SMS, kod QR oraz ADO</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umożliwiać import listy urządzeń z pliku CSV</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umożliwiać dodanie urządzeń prywatnych oraz firmowych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Musi umożliwiać podgląd co najmniej następujących informacji konfiguracji: Data wdrożenia, typ wdrożenia, status wdrożenia, status urządzenia, numer telefonu, właściciel, typ właściciela, grupa, reguły, konfiguracja </w:t>
            </w:r>
            <w:proofErr w:type="spellStart"/>
            <w:r w:rsidRPr="009771C7">
              <w:rPr>
                <w:rFonts w:asciiTheme="minorHAnsi" w:hAnsiTheme="minorHAnsi" w:cstheme="minorHAnsi"/>
                <w:sz w:val="20"/>
              </w:rPr>
              <w:t>geolokacji</w:t>
            </w:r>
            <w:proofErr w:type="spellEnd"/>
            <w:r w:rsidRPr="009771C7">
              <w:rPr>
                <w:rFonts w:asciiTheme="minorHAnsi" w:hAnsiTheme="minorHAnsi" w:cstheme="minorHAnsi"/>
                <w:sz w:val="20"/>
              </w:rPr>
              <w:t>, wersja agenta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Musi umożliwiać podgląd co najmniej następujących informacji sprzętowych: model, producent, system, IMEI, ID SIM, dostawca SIM, adres MAC, </w:t>
            </w:r>
            <w:proofErr w:type="spellStart"/>
            <w:r w:rsidRPr="009771C7">
              <w:rPr>
                <w:rFonts w:asciiTheme="minorHAnsi" w:hAnsiTheme="minorHAnsi" w:cstheme="minorHAnsi"/>
                <w:sz w:val="20"/>
              </w:rPr>
              <w:t>bluetooth</w:t>
            </w:r>
            <w:proofErr w:type="spellEnd"/>
            <w:r w:rsidRPr="009771C7">
              <w:rPr>
                <w:rFonts w:asciiTheme="minorHAnsi" w:hAnsiTheme="minorHAnsi" w:cstheme="minorHAnsi"/>
                <w:sz w:val="20"/>
              </w:rPr>
              <w:t>, Sieć, wolna przestrzeń na dysku, całkowita przeszłość na dysku, bateria, zużycie procesora, sygnał</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umożliwiać podgląd lokacji w zakresach czasu: dzisiaj, wczoraj, ostatnie 7 dni, ostatnie 15 dni, ostatnie 30 dni, własny zakres</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zawierać podgląd aktualnie zainstalowanych aplikacji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 xml:space="preserve">Musi zawierać informacje o zużyciu łącza danych, a w tym: Ogólne zużycie danych, zużycie danych według aplikacji, wykres zużycia danych, </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Musi zawierać moduł raportowania aktywności, skanowania oraz naruszenia reguł</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t>
            </w:r>
            <w:r w:rsidRPr="009771C7">
              <w:rPr>
                <w:rFonts w:asciiTheme="minorHAnsi" w:hAnsiTheme="minorHAnsi" w:cstheme="minorHAnsi"/>
                <w:sz w:val="20"/>
              </w:rPr>
              <w:tab/>
              <w:t>Moduł raportowania musi umożliwiać podgląd w zakresie: dzisiaj, ostatnie 7 dni, ostatnie 15 dni, ostatnie 30 dni, własny zakres</w:t>
            </w:r>
          </w:p>
          <w:p w:rsidR="008C2381" w:rsidRPr="009771C7" w:rsidRDefault="008C2381" w:rsidP="002A1DBD">
            <w:pPr>
              <w:spacing w:line="0" w:lineRule="atLeast"/>
              <w:rPr>
                <w:rFonts w:asciiTheme="minorHAnsi" w:hAnsiTheme="minorHAnsi" w:cstheme="minorHAnsi"/>
                <w:sz w:val="20"/>
              </w:rPr>
            </w:pP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Oprogramowanie pozwalające na wykrywaniu oraz zarządzaniu </w:t>
            </w:r>
            <w:proofErr w:type="spellStart"/>
            <w:r w:rsidRPr="009771C7">
              <w:rPr>
                <w:rFonts w:asciiTheme="minorHAnsi" w:hAnsiTheme="minorHAnsi" w:cstheme="minorHAnsi"/>
                <w:sz w:val="20"/>
              </w:rPr>
              <w:t>podatnościami</w:t>
            </w:r>
            <w:proofErr w:type="spellEnd"/>
            <w:r w:rsidRPr="009771C7">
              <w:rPr>
                <w:rFonts w:asciiTheme="minorHAnsi" w:hAnsiTheme="minorHAnsi" w:cstheme="minorHAnsi"/>
                <w:sz w:val="20"/>
              </w:rPr>
              <w:t xml:space="preserve"> bezpieczeństwa: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Wymagania dotyczące technologii: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1.</w:t>
            </w:r>
            <w:r w:rsidRPr="009771C7">
              <w:rPr>
                <w:rFonts w:asciiTheme="minorHAnsi" w:hAnsiTheme="minorHAnsi" w:cstheme="minorHAnsi"/>
                <w:sz w:val="20"/>
              </w:rPr>
              <w:tab/>
              <w:t xml:space="preserve">Dostęp do rozwiązania realizowany jest za pomocą dedykowanego portalu zarządzającego dostępnego </w:t>
            </w:r>
            <w:r w:rsidRPr="009771C7">
              <w:rPr>
                <w:rFonts w:asciiTheme="minorHAnsi" w:hAnsiTheme="minorHAnsi" w:cstheme="minorHAnsi"/>
                <w:sz w:val="20"/>
              </w:rPr>
              <w:lastRenderedPageBreak/>
              <w:t>przez przeglądarkę internetową</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2.</w:t>
            </w:r>
            <w:r w:rsidRPr="009771C7">
              <w:rPr>
                <w:rFonts w:asciiTheme="minorHAnsi" w:hAnsiTheme="minorHAnsi" w:cstheme="minorHAnsi"/>
                <w:sz w:val="20"/>
              </w:rPr>
              <w:tab/>
              <w:t xml:space="preserve">Portal zarządzający musi być dostępny w postaci usługi </w:t>
            </w:r>
            <w:proofErr w:type="spellStart"/>
            <w:r w:rsidRPr="009771C7">
              <w:rPr>
                <w:rFonts w:asciiTheme="minorHAnsi" w:hAnsiTheme="minorHAnsi" w:cstheme="minorHAnsi"/>
                <w:sz w:val="20"/>
              </w:rPr>
              <w:t>hostowanej</w:t>
            </w:r>
            <w:proofErr w:type="spellEnd"/>
            <w:r w:rsidRPr="009771C7">
              <w:rPr>
                <w:rFonts w:asciiTheme="minorHAnsi" w:hAnsiTheme="minorHAnsi" w:cstheme="minorHAnsi"/>
                <w:sz w:val="20"/>
              </w:rPr>
              <w:t xml:space="preserve"> na serwerach producenta.</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3.</w:t>
            </w:r>
            <w:r w:rsidRPr="009771C7">
              <w:rPr>
                <w:rFonts w:asciiTheme="minorHAnsi" w:hAnsiTheme="minorHAnsi" w:cstheme="minorHAnsi"/>
                <w:sz w:val="20"/>
              </w:rPr>
              <w:tab/>
              <w:t>Dostęp do portalu zarządzającego odbywa się za pomocą wspieranych przeglądarek internetowych:</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Microsoft Internet Explorer</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Microsoft Edge</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Mozilla Firefox</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Google Chrome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Safari</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4.</w:t>
            </w:r>
            <w:r w:rsidRPr="009771C7">
              <w:rPr>
                <w:rFonts w:asciiTheme="minorHAnsi" w:hAnsiTheme="minorHAnsi" w:cstheme="minorHAnsi"/>
                <w:sz w:val="20"/>
              </w:rPr>
              <w:tab/>
              <w:t xml:space="preserve">Rozwiązanie realizuje </w:t>
            </w:r>
            <w:proofErr w:type="spellStart"/>
            <w:r w:rsidRPr="009771C7">
              <w:rPr>
                <w:rFonts w:asciiTheme="minorHAnsi" w:hAnsiTheme="minorHAnsi" w:cstheme="minorHAnsi"/>
                <w:sz w:val="20"/>
              </w:rPr>
              <w:t>skany</w:t>
            </w:r>
            <w:proofErr w:type="spellEnd"/>
            <w:r w:rsidRPr="009771C7">
              <w:rPr>
                <w:rFonts w:asciiTheme="minorHAnsi" w:hAnsiTheme="minorHAnsi" w:cstheme="minorHAnsi"/>
                <w:sz w:val="20"/>
              </w:rPr>
              <w:t xml:space="preserve"> podatności za pomocą dedykowanych </w:t>
            </w:r>
            <w:proofErr w:type="spellStart"/>
            <w:r w:rsidRPr="009771C7">
              <w:rPr>
                <w:rFonts w:asciiTheme="minorHAnsi" w:hAnsiTheme="minorHAnsi" w:cstheme="minorHAnsi"/>
                <w:sz w:val="20"/>
              </w:rPr>
              <w:t>nodów</w:t>
            </w:r>
            <w:proofErr w:type="spellEnd"/>
            <w:r w:rsidRPr="009771C7">
              <w:rPr>
                <w:rFonts w:asciiTheme="minorHAnsi" w:hAnsiTheme="minorHAnsi" w:cstheme="minorHAnsi"/>
                <w:sz w:val="20"/>
              </w:rPr>
              <w:t xml:space="preserve"> skanujących</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5.</w:t>
            </w:r>
            <w:r w:rsidRPr="009771C7">
              <w:rPr>
                <w:rFonts w:asciiTheme="minorHAnsi" w:hAnsiTheme="minorHAnsi" w:cstheme="minorHAnsi"/>
                <w:sz w:val="20"/>
              </w:rPr>
              <w:tab/>
            </w:r>
            <w:proofErr w:type="spellStart"/>
            <w:r w:rsidRPr="009771C7">
              <w:rPr>
                <w:rFonts w:asciiTheme="minorHAnsi" w:hAnsiTheme="minorHAnsi" w:cstheme="minorHAnsi"/>
                <w:sz w:val="20"/>
              </w:rPr>
              <w:t>Nod</w:t>
            </w:r>
            <w:proofErr w:type="spellEnd"/>
            <w:r w:rsidRPr="009771C7">
              <w:rPr>
                <w:rFonts w:asciiTheme="minorHAnsi" w:hAnsiTheme="minorHAnsi" w:cstheme="minorHAnsi"/>
                <w:sz w:val="20"/>
              </w:rPr>
              <w:t xml:space="preserve"> skanujący musi być dostępny w postaci usługi </w:t>
            </w:r>
            <w:proofErr w:type="spellStart"/>
            <w:r w:rsidRPr="009771C7">
              <w:rPr>
                <w:rFonts w:asciiTheme="minorHAnsi" w:hAnsiTheme="minorHAnsi" w:cstheme="minorHAnsi"/>
                <w:sz w:val="20"/>
              </w:rPr>
              <w:t>hostowanej</w:t>
            </w:r>
            <w:proofErr w:type="spellEnd"/>
            <w:r w:rsidRPr="009771C7">
              <w:rPr>
                <w:rFonts w:asciiTheme="minorHAnsi" w:hAnsiTheme="minorHAnsi" w:cstheme="minorHAnsi"/>
                <w:sz w:val="20"/>
              </w:rPr>
              <w:t xml:space="preserve"> na serwerach producenta oraz w postaci aplikacji instalowanej lokalnie</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6.</w:t>
            </w:r>
            <w:r w:rsidRPr="009771C7">
              <w:rPr>
                <w:rFonts w:asciiTheme="minorHAnsi" w:hAnsiTheme="minorHAnsi" w:cstheme="minorHAnsi"/>
                <w:sz w:val="20"/>
              </w:rPr>
              <w:tab/>
            </w:r>
            <w:proofErr w:type="spellStart"/>
            <w:r w:rsidRPr="009771C7">
              <w:rPr>
                <w:rFonts w:asciiTheme="minorHAnsi" w:hAnsiTheme="minorHAnsi" w:cstheme="minorHAnsi"/>
                <w:sz w:val="20"/>
              </w:rPr>
              <w:t>Nod</w:t>
            </w:r>
            <w:proofErr w:type="spellEnd"/>
            <w:r w:rsidRPr="009771C7">
              <w:rPr>
                <w:rFonts w:asciiTheme="minorHAnsi" w:hAnsiTheme="minorHAnsi" w:cstheme="minorHAnsi"/>
                <w:sz w:val="20"/>
              </w:rPr>
              <w:t xml:space="preserve"> skanujący w postaci aplikacji instalowanej lokalnie dostępny jest na poniższe systemy operacyjne:</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Windows 2008 R2</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Windows 2012</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Windows 2012 R2</w:t>
            </w:r>
          </w:p>
          <w:p w:rsidR="008C2381" w:rsidRPr="009771C7" w:rsidRDefault="008C2381" w:rsidP="002A1DBD">
            <w:pPr>
              <w:spacing w:line="0" w:lineRule="atLeast"/>
              <w:rPr>
                <w:rFonts w:asciiTheme="minorHAnsi" w:hAnsiTheme="minorHAnsi" w:cstheme="minorHAnsi"/>
                <w:sz w:val="20"/>
                <w:lang w:val="en-US"/>
              </w:rPr>
            </w:pPr>
            <w:r w:rsidRPr="009771C7">
              <w:rPr>
                <w:rFonts w:asciiTheme="minorHAnsi" w:hAnsiTheme="minorHAnsi" w:cstheme="minorHAnsi"/>
                <w:sz w:val="20"/>
                <w:lang w:val="en-US"/>
              </w:rPr>
              <w:t>- Windows 2016</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7. Portal zarządzający musi umożliwiać:</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a)           przegląd wybranych danych na podstawie konfigurowalnych </w:t>
            </w:r>
            <w:proofErr w:type="spellStart"/>
            <w:r w:rsidRPr="009771C7">
              <w:rPr>
                <w:rFonts w:asciiTheme="minorHAnsi" w:hAnsiTheme="minorHAnsi" w:cstheme="minorHAnsi"/>
                <w:sz w:val="20"/>
              </w:rPr>
              <w:t>widgetów</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b)           zablokowania możliwości zmiany konfiguracji </w:t>
            </w:r>
            <w:proofErr w:type="spellStart"/>
            <w:r w:rsidRPr="009771C7">
              <w:rPr>
                <w:rFonts w:asciiTheme="minorHAnsi" w:hAnsiTheme="minorHAnsi" w:cstheme="minorHAnsi"/>
                <w:sz w:val="20"/>
              </w:rPr>
              <w:t>widgetów</w:t>
            </w:r>
            <w:proofErr w:type="spellEnd"/>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c)            zarządzanie </w:t>
            </w:r>
            <w:proofErr w:type="spellStart"/>
            <w:r w:rsidRPr="009771C7">
              <w:rPr>
                <w:rFonts w:asciiTheme="minorHAnsi" w:hAnsiTheme="minorHAnsi" w:cstheme="minorHAnsi"/>
                <w:sz w:val="20"/>
              </w:rPr>
              <w:t>skanami</w:t>
            </w:r>
            <w:proofErr w:type="spellEnd"/>
            <w:r w:rsidRPr="009771C7">
              <w:rPr>
                <w:rFonts w:asciiTheme="minorHAnsi" w:hAnsiTheme="minorHAnsi" w:cstheme="minorHAnsi"/>
                <w:sz w:val="20"/>
              </w:rPr>
              <w:t xml:space="preserve"> podatności (start, stop), przeglądanie listy podatności oraz tworzenie raportów.</w:t>
            </w:r>
          </w:p>
          <w:p w:rsidR="008C2381" w:rsidRPr="009771C7" w:rsidRDefault="008C2381" w:rsidP="002A1DBD">
            <w:pPr>
              <w:spacing w:line="0" w:lineRule="atLeast"/>
              <w:rPr>
                <w:rFonts w:asciiTheme="minorHAnsi" w:hAnsiTheme="minorHAnsi" w:cstheme="minorHAnsi"/>
                <w:sz w:val="20"/>
              </w:rPr>
            </w:pPr>
            <w:r w:rsidRPr="009771C7">
              <w:rPr>
                <w:rFonts w:asciiTheme="minorHAnsi" w:hAnsiTheme="minorHAnsi" w:cstheme="minorHAnsi"/>
                <w:sz w:val="20"/>
              </w:rPr>
              <w:t xml:space="preserve">d)           tworzenie grup </w:t>
            </w:r>
            <w:proofErr w:type="spellStart"/>
            <w:r w:rsidRPr="009771C7">
              <w:rPr>
                <w:rFonts w:asciiTheme="minorHAnsi" w:hAnsiTheme="minorHAnsi" w:cstheme="minorHAnsi"/>
                <w:sz w:val="20"/>
              </w:rPr>
              <w:t>skanów</w:t>
            </w:r>
            <w:proofErr w:type="spellEnd"/>
            <w:r w:rsidRPr="009771C7">
              <w:rPr>
                <w:rFonts w:asciiTheme="minorHAnsi" w:hAnsiTheme="minorHAnsi" w:cstheme="minorHAnsi"/>
                <w:sz w:val="20"/>
              </w:rPr>
              <w:t xml:space="preserve"> z odpowiednią konfiguracją poszczególnych </w:t>
            </w:r>
            <w:proofErr w:type="spellStart"/>
            <w:r w:rsidRPr="009771C7">
              <w:rPr>
                <w:rFonts w:asciiTheme="minorHAnsi" w:hAnsiTheme="minorHAnsi" w:cstheme="minorHAnsi"/>
                <w:sz w:val="20"/>
              </w:rPr>
              <w:t>skanów</w:t>
            </w:r>
            <w:proofErr w:type="spellEnd"/>
            <w:r w:rsidRPr="009771C7">
              <w:rPr>
                <w:rFonts w:asciiTheme="minorHAnsi" w:hAnsiTheme="minorHAnsi" w:cstheme="minorHAnsi"/>
                <w:sz w:val="20"/>
              </w:rPr>
              <w:t xml:space="preserve"> podatności</w:t>
            </w:r>
          </w:p>
          <w:p w:rsidR="008C2381" w:rsidRDefault="008C2381" w:rsidP="002A1DBD">
            <w:pPr>
              <w:jc w:val="both"/>
              <w:rPr>
                <w:rFonts w:asciiTheme="minorHAnsi" w:hAnsiTheme="minorHAnsi" w:cstheme="minorHAnsi"/>
                <w:sz w:val="20"/>
              </w:rPr>
            </w:pPr>
            <w:r w:rsidRPr="009771C7">
              <w:rPr>
                <w:rFonts w:asciiTheme="minorHAnsi" w:hAnsiTheme="minorHAnsi" w:cstheme="minorHAnsi"/>
                <w:sz w:val="20"/>
              </w:rPr>
              <w:t xml:space="preserve">e)           eksport wszystkich </w:t>
            </w:r>
            <w:proofErr w:type="spellStart"/>
            <w:r w:rsidRPr="009771C7">
              <w:rPr>
                <w:rFonts w:asciiTheme="minorHAnsi" w:hAnsiTheme="minorHAnsi" w:cstheme="minorHAnsi"/>
                <w:sz w:val="20"/>
              </w:rPr>
              <w:t>skanów</w:t>
            </w:r>
            <w:proofErr w:type="spellEnd"/>
            <w:r w:rsidRPr="009771C7">
              <w:rPr>
                <w:rFonts w:asciiTheme="minorHAnsi" w:hAnsiTheme="minorHAnsi" w:cstheme="minorHAnsi"/>
                <w:sz w:val="20"/>
              </w:rPr>
              <w:t xml:space="preserve"> podatności do pliku CSV</w:t>
            </w:r>
          </w:p>
          <w:p w:rsidR="008C2381" w:rsidRDefault="008C2381" w:rsidP="002A1DBD">
            <w:pPr>
              <w:jc w:val="both"/>
              <w:rPr>
                <w:rFonts w:asciiTheme="minorHAnsi" w:hAnsiTheme="minorHAnsi" w:cstheme="minorHAnsi"/>
                <w:bCs/>
                <w:sz w:val="20"/>
              </w:rPr>
            </w:pP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Backup i przywracanie danych</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r>
            <w:proofErr w:type="spellStart"/>
            <w:r w:rsidRPr="008734E6">
              <w:rPr>
                <w:rFonts w:asciiTheme="minorHAnsi" w:hAnsiTheme="minorHAnsi" w:cstheme="minorHAnsi"/>
                <w:sz w:val="20"/>
              </w:rPr>
              <w:t>Deduplikacja</w:t>
            </w:r>
            <w:proofErr w:type="spellEnd"/>
            <w:r w:rsidRPr="008734E6">
              <w:rPr>
                <w:rFonts w:asciiTheme="minorHAnsi" w:hAnsiTheme="minorHAnsi" w:cstheme="minorHAnsi"/>
                <w:sz w:val="20"/>
              </w:rPr>
              <w:t xml:space="preserve"> danych,</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Backup przyrostowy i różnicowy,</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Wersjonowanie plików – możliwość zdefiniowania dowolnej ilości wersji,</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Backup danych lokalnych – plikowy oraz poczty Outlook,</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Backup otwartych plików (VSS),</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Filtr plików oraz folderów,</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 xml:space="preserve">Domyślne wykluczenia zbędnych plików (pliki tymczasowe etc.), </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Wyłączanie komputera po wykonaniu backupu,</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Przywracanie danych do wskazanej lokalizacji,</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Możliwość backup-u z wykorzystaniem dowolnej ilości rdzeni procesora,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Wyszukiwanie plików w repozytorium użytkownika,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Ustawienia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Automatyczne logowanie,</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Zapamiętywanie danych logowania,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Automatyczne uruchamianie programu przy starcie systemu,</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Ustawianie priorytetu dla procesu backupu,</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Zmiana klucza szyfrującego,</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Ustawienia przepustowości/zajętości pasma,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Konfiguracja wydajności procesu backupu,</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Bezpieczeństwo</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 xml:space="preserve">Zastępowanie nazwy pliku </w:t>
            </w:r>
            <w:proofErr w:type="spellStart"/>
            <w:r w:rsidRPr="008734E6">
              <w:rPr>
                <w:rFonts w:asciiTheme="minorHAnsi" w:hAnsiTheme="minorHAnsi" w:cstheme="minorHAnsi"/>
                <w:sz w:val="20"/>
              </w:rPr>
              <w:t>GUID-em</w:t>
            </w:r>
            <w:proofErr w:type="spellEnd"/>
            <w:r w:rsidRPr="008734E6">
              <w:rPr>
                <w:rFonts w:asciiTheme="minorHAnsi" w:hAnsiTheme="minorHAnsi" w:cstheme="minorHAnsi"/>
                <w:sz w:val="20"/>
              </w:rPr>
              <w:t>,</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Szyfrowanie danych algorytmem AES 256 CBC, zawsze po stronie komputera użytkownika,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Kompresja danych,</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Transmisja po bezpiecznym protokole TLS,</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Deklaracja klucza szyfrującego dane użytkownika,</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 xml:space="preserve">Szczegółowy dziennik zdarzeń dostępny z poziomu aplikacji, </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lastRenderedPageBreak/>
              <w:t>-</w:t>
            </w:r>
            <w:r w:rsidRPr="008734E6">
              <w:rPr>
                <w:rFonts w:asciiTheme="minorHAnsi" w:hAnsiTheme="minorHAnsi" w:cstheme="minorHAnsi"/>
                <w:sz w:val="20"/>
              </w:rPr>
              <w:tab/>
              <w:t>Obliczanie sumy kontrolnej,</w:t>
            </w:r>
          </w:p>
          <w:p w:rsidR="008C2381" w:rsidRPr="008734E6" w:rsidRDefault="008C2381" w:rsidP="002A1DBD">
            <w:pPr>
              <w:jc w:val="both"/>
              <w:rPr>
                <w:rFonts w:asciiTheme="minorHAnsi" w:hAnsiTheme="minorHAnsi" w:cstheme="minorHAnsi"/>
                <w:sz w:val="20"/>
              </w:rPr>
            </w:pPr>
            <w:r w:rsidRPr="008734E6">
              <w:rPr>
                <w:rFonts w:asciiTheme="minorHAnsi" w:hAnsiTheme="minorHAnsi" w:cstheme="minorHAnsi"/>
                <w:sz w:val="20"/>
              </w:rPr>
              <w:t>-</w:t>
            </w:r>
            <w:r w:rsidRPr="008734E6">
              <w:rPr>
                <w:rFonts w:asciiTheme="minorHAnsi" w:hAnsiTheme="minorHAnsi" w:cstheme="minorHAnsi"/>
                <w:sz w:val="20"/>
              </w:rPr>
              <w:tab/>
              <w:t xml:space="preserve">Kopie zapasowe są przechowywane w profesjonalnych, certyfikowanych data center, na terenie Polski. </w:t>
            </w:r>
          </w:p>
          <w:p w:rsidR="008C2381" w:rsidRPr="009771C7" w:rsidRDefault="008C2381" w:rsidP="002A1DBD">
            <w:pPr>
              <w:jc w:val="both"/>
              <w:rPr>
                <w:rFonts w:asciiTheme="minorHAnsi" w:hAnsiTheme="minorHAnsi" w:cstheme="minorHAnsi"/>
                <w:bCs/>
                <w:sz w:val="20"/>
              </w:rPr>
            </w:pPr>
            <w:r w:rsidRPr="008734E6">
              <w:rPr>
                <w:rFonts w:asciiTheme="minorHAnsi" w:hAnsiTheme="minorHAnsi" w:cstheme="minorHAnsi"/>
                <w:sz w:val="20"/>
              </w:rPr>
              <w:t xml:space="preserve">WSPIERANE SYSTEMY OPERACYJNE  Microsoft Windows 7 i nowsze, Mac </w:t>
            </w:r>
            <w:proofErr w:type="spellStart"/>
            <w:r w:rsidRPr="008734E6">
              <w:rPr>
                <w:rFonts w:asciiTheme="minorHAnsi" w:hAnsiTheme="minorHAnsi" w:cstheme="minorHAnsi"/>
                <w:sz w:val="20"/>
              </w:rPr>
              <w:t>OS,Licencje</w:t>
            </w:r>
            <w:proofErr w:type="spellEnd"/>
            <w:r w:rsidRPr="008734E6">
              <w:rPr>
                <w:rFonts w:asciiTheme="minorHAnsi" w:hAnsiTheme="minorHAnsi" w:cstheme="minorHAnsi"/>
                <w:sz w:val="20"/>
              </w:rPr>
              <w:t xml:space="preserve"> przypisywane do jednego urządzenia z limitem pojemności przestrzeni w chmurze – minimum 50 GB. Wsparcie techniczne, świadczone jest bezpośrednio od producenta, w języku polskim, zawarte jest w cenie licencji.</w:t>
            </w:r>
          </w:p>
        </w:tc>
      </w:tr>
      <w:tr w:rsidR="008C2381" w:rsidRPr="009771C7" w:rsidTr="002A1DBD">
        <w:trPr>
          <w:trHeight w:val="1971"/>
        </w:trPr>
        <w:tc>
          <w:tcPr>
            <w:tcW w:w="832" w:type="pct"/>
            <w:shd w:val="clear" w:color="auto" w:fill="F2F2F2" w:themeFill="background1" w:themeFillShade="F2"/>
          </w:tcPr>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lastRenderedPageBreak/>
              <w:t>Warunki gwarancji</w:t>
            </w:r>
          </w:p>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Wsparcie techniczne</w:t>
            </w:r>
          </w:p>
        </w:tc>
        <w:tc>
          <w:tcPr>
            <w:tcW w:w="4168" w:type="pct"/>
            <w:gridSpan w:val="2"/>
          </w:tcPr>
          <w:p w:rsidR="008C2381" w:rsidRPr="009771C7" w:rsidRDefault="008C2381" w:rsidP="002A1DBD">
            <w:pPr>
              <w:rPr>
                <w:rFonts w:asciiTheme="minorHAnsi" w:hAnsiTheme="minorHAnsi" w:cstheme="minorHAnsi"/>
                <w:bCs/>
                <w:sz w:val="20"/>
              </w:rPr>
            </w:pPr>
            <w:r>
              <w:rPr>
                <w:rFonts w:asciiTheme="minorHAnsi" w:hAnsiTheme="minorHAnsi" w:cstheme="minorHAnsi"/>
                <w:bCs/>
                <w:sz w:val="20"/>
              </w:rPr>
              <w:t>Minimum 2</w:t>
            </w:r>
            <w:r w:rsidRPr="009771C7">
              <w:rPr>
                <w:rFonts w:asciiTheme="minorHAnsi" w:hAnsiTheme="minorHAnsi" w:cstheme="minorHAnsi"/>
                <w:bCs/>
                <w:sz w:val="20"/>
              </w:rPr>
              <w:t>-letnia gwarancja producenta, Czas reakcji serwisu - do końca następnego dnia roboczego.</w:t>
            </w:r>
          </w:p>
          <w:p w:rsidR="008C2381" w:rsidRPr="009771C7" w:rsidRDefault="008C2381" w:rsidP="002A1DBD">
            <w:pPr>
              <w:rPr>
                <w:rFonts w:asciiTheme="minorHAnsi" w:hAnsiTheme="minorHAnsi" w:cstheme="minorHAnsi"/>
                <w:bCs/>
                <w:sz w:val="20"/>
              </w:rPr>
            </w:pPr>
            <w:r w:rsidRPr="009771C7">
              <w:rPr>
                <w:rFonts w:asciiTheme="minorHAnsi" w:hAnsiTheme="minorHAnsi" w:cstheme="minorHAnsi"/>
                <w:bCs/>
                <w:sz w:val="20"/>
              </w:rPr>
              <w:t>W przypadku awarii dysków twardych dysk pozostaje u Zamawiającego</w:t>
            </w:r>
            <w:r>
              <w:rPr>
                <w:rFonts w:asciiTheme="minorHAnsi" w:hAnsiTheme="minorHAnsi" w:cstheme="minorHAnsi"/>
                <w:bCs/>
                <w:sz w:val="20"/>
              </w:rPr>
              <w:t>.</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Firma serwisująca musi posiadać ISO 9001:2015 na świadczenie usług serwisowych oraz posiadać autoryzacje producenta komputera – dokumenty potwierdzające załączyć do oferty.</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Serwis urządzeń musi być realizowany przez Producenta lub Autoryzowanego Partnera Serwisowego Producenta – wymagane dołączenie do oferty oświadczenia potwierdzonego, że serwis będzie realizowany przez Autoryzowanego Partnera Serwisowego Producenta lub bezpośrednio przez Producenta</w:t>
            </w:r>
          </w:p>
          <w:p w:rsidR="008C2381" w:rsidRPr="009771C7" w:rsidRDefault="008C2381" w:rsidP="002A1DBD">
            <w:pPr>
              <w:jc w:val="both"/>
              <w:rPr>
                <w:rFonts w:asciiTheme="minorHAnsi" w:hAnsiTheme="minorHAnsi" w:cstheme="minorHAnsi"/>
                <w:bCs/>
                <w:sz w:val="20"/>
              </w:rPr>
            </w:pPr>
            <w:r w:rsidRPr="009771C7">
              <w:rPr>
                <w:rFonts w:asciiTheme="minorHAnsi" w:hAnsiTheme="minorHAnsi" w:cstheme="minorHAnsi"/>
                <w:bCs/>
                <w:sz w:val="20"/>
              </w:rPr>
              <w:t>Dedykowany portal techniczny producenta, umożliwiający Zamawiającemu zgłaszanie awarii</w:t>
            </w:r>
            <w:r>
              <w:rPr>
                <w:rFonts w:asciiTheme="minorHAnsi" w:hAnsiTheme="minorHAnsi" w:cstheme="minorHAnsi"/>
                <w:bCs/>
                <w:sz w:val="20"/>
              </w:rPr>
              <w:t>.</w:t>
            </w:r>
          </w:p>
        </w:tc>
      </w:tr>
    </w:tbl>
    <w:p w:rsidR="008C2381" w:rsidRPr="009771C7" w:rsidRDefault="008C2381" w:rsidP="008C2381">
      <w:pPr>
        <w:pStyle w:val="Tekstpodstawowy"/>
        <w:spacing w:line="360" w:lineRule="auto"/>
        <w:rPr>
          <w:rFonts w:asciiTheme="minorHAnsi" w:hAnsiTheme="minorHAnsi" w:cstheme="minorHAnsi"/>
          <w:bCs/>
          <w:sz w:val="20"/>
        </w:rPr>
      </w:pPr>
    </w:p>
    <w:p w:rsidR="008C2381" w:rsidRPr="008C2381" w:rsidRDefault="008C2381" w:rsidP="008C2381">
      <w:pPr>
        <w:pStyle w:val="Tekstpodstawowy"/>
        <w:numPr>
          <w:ilvl w:val="0"/>
          <w:numId w:val="8"/>
        </w:numPr>
        <w:spacing w:line="360" w:lineRule="auto"/>
        <w:rPr>
          <w:rFonts w:asciiTheme="minorHAnsi" w:hAnsiTheme="minorHAnsi" w:cstheme="minorHAnsi"/>
          <w:bCs/>
          <w:sz w:val="36"/>
          <w:szCs w:val="36"/>
        </w:rPr>
      </w:pPr>
      <w:r w:rsidRPr="008C2381">
        <w:rPr>
          <w:rFonts w:asciiTheme="minorHAnsi" w:hAnsiTheme="minorHAnsi" w:cstheme="minorHAnsi"/>
          <w:bCs/>
          <w:sz w:val="36"/>
          <w:szCs w:val="36"/>
        </w:rPr>
        <w:t>Monitor – 3 szt.</w:t>
      </w:r>
    </w:p>
    <w:tbl>
      <w:tblPr>
        <w:tblW w:w="5273"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3309"/>
        <w:gridCol w:w="6712"/>
      </w:tblGrid>
      <w:tr w:rsidR="008C2381" w:rsidRPr="00F02A64" w:rsidTr="002A1DBD">
        <w:trPr>
          <w:trHeight w:val="284"/>
        </w:trPr>
        <w:tc>
          <w:tcPr>
            <w:tcW w:w="1568" w:type="pct"/>
          </w:tcPr>
          <w:p w:rsidR="008C2381" w:rsidRPr="00F02A64" w:rsidRDefault="008C2381" w:rsidP="002A1DBD">
            <w:pPr>
              <w:jc w:val="center"/>
              <w:rPr>
                <w:rFonts w:ascii="Arial" w:hAnsi="Arial" w:cs="Arial"/>
                <w:b/>
                <w:sz w:val="20"/>
              </w:rPr>
            </w:pPr>
            <w:r w:rsidRPr="00F02A64">
              <w:rPr>
                <w:rFonts w:ascii="Arial" w:hAnsi="Arial" w:cs="Arial"/>
                <w:b/>
                <w:sz w:val="20"/>
              </w:rPr>
              <w:t>Nazwa komponentu</w:t>
            </w:r>
          </w:p>
        </w:tc>
        <w:tc>
          <w:tcPr>
            <w:tcW w:w="3181" w:type="pct"/>
          </w:tcPr>
          <w:p w:rsidR="008C2381" w:rsidRPr="00F02A64" w:rsidRDefault="008C2381" w:rsidP="002A1DBD">
            <w:pPr>
              <w:ind w:left="-71"/>
              <w:jc w:val="center"/>
              <w:rPr>
                <w:rFonts w:ascii="Arial" w:hAnsi="Arial" w:cs="Arial"/>
                <w:b/>
                <w:sz w:val="20"/>
              </w:rPr>
            </w:pPr>
            <w:r w:rsidRPr="00F02A64">
              <w:rPr>
                <w:rFonts w:ascii="Arial" w:hAnsi="Arial" w:cs="Arial"/>
                <w:b/>
                <w:sz w:val="20"/>
              </w:rPr>
              <w:t>Wymagane minimalne parametry techniczne monitora</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Typ ekranu</w:t>
            </w:r>
          </w:p>
        </w:tc>
        <w:tc>
          <w:tcPr>
            <w:tcW w:w="3181" w:type="pct"/>
            <w:vAlign w:val="center"/>
          </w:tcPr>
          <w:p w:rsidR="008C2381" w:rsidRPr="00F02A64" w:rsidRDefault="008C2381" w:rsidP="002A1DBD">
            <w:pPr>
              <w:rPr>
                <w:rFonts w:ascii="Arial" w:hAnsi="Arial" w:cs="Arial"/>
                <w:bCs/>
                <w:sz w:val="20"/>
              </w:rPr>
            </w:pPr>
            <w:r w:rsidRPr="00F02A64">
              <w:rPr>
                <w:rFonts w:ascii="Arial" w:hAnsi="Arial" w:cs="Arial"/>
                <w:bCs/>
                <w:sz w:val="20"/>
              </w:rPr>
              <w:t xml:space="preserve">Ekran ciekłokrystaliczny z aktywną matrycą </w:t>
            </w:r>
            <w:r w:rsidRPr="00FC2FE2">
              <w:rPr>
                <w:rFonts w:ascii="Arial" w:hAnsi="Arial" w:cs="Arial"/>
                <w:bCs/>
                <w:sz w:val="20"/>
              </w:rPr>
              <w:t xml:space="preserve">LED, </w:t>
            </w:r>
            <w:r>
              <w:rPr>
                <w:rFonts w:ascii="Arial" w:hAnsi="Arial" w:cs="Arial"/>
                <w:bCs/>
                <w:sz w:val="20"/>
              </w:rPr>
              <w:t xml:space="preserve">IPS lub </w:t>
            </w:r>
            <w:r w:rsidRPr="00FC2FE2">
              <w:rPr>
                <w:rFonts w:ascii="Arial" w:hAnsi="Arial" w:cs="Arial"/>
                <w:bCs/>
                <w:sz w:val="20"/>
              </w:rPr>
              <w:t>VA</w:t>
            </w:r>
            <w:r>
              <w:rPr>
                <w:rFonts w:ascii="Arial" w:hAnsi="Arial" w:cs="Arial"/>
                <w:bCs/>
                <w:sz w:val="20"/>
              </w:rPr>
              <w:t xml:space="preserve"> 23,8</w:t>
            </w:r>
            <w:r w:rsidRPr="00F02A64">
              <w:rPr>
                <w:rFonts w:ascii="Arial" w:hAnsi="Arial" w:cs="Arial"/>
                <w:bCs/>
                <w:sz w:val="20"/>
              </w:rPr>
              <w:t>”</w:t>
            </w:r>
            <w:r>
              <w:rPr>
                <w:rFonts w:ascii="Arial" w:hAnsi="Arial" w:cs="Arial"/>
                <w:bCs/>
                <w:sz w:val="20"/>
              </w:rPr>
              <w:t xml:space="preserve"> </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Jasność</w:t>
            </w:r>
          </w:p>
        </w:tc>
        <w:tc>
          <w:tcPr>
            <w:tcW w:w="3181" w:type="pct"/>
            <w:vAlign w:val="center"/>
          </w:tcPr>
          <w:p w:rsidR="008C2381" w:rsidRPr="00F02A64" w:rsidRDefault="008C2381" w:rsidP="002A1DBD">
            <w:pPr>
              <w:rPr>
                <w:rFonts w:ascii="Arial" w:hAnsi="Arial" w:cs="Arial"/>
                <w:bCs/>
                <w:sz w:val="20"/>
                <w:lang w:eastAsia="en-US"/>
              </w:rPr>
            </w:pPr>
            <w:r>
              <w:rPr>
                <w:rFonts w:ascii="Arial" w:hAnsi="Arial" w:cs="Arial"/>
                <w:bCs/>
                <w:sz w:val="20"/>
                <w:lang w:eastAsia="en-US"/>
              </w:rPr>
              <w:t>250</w:t>
            </w:r>
            <w:r w:rsidRPr="00F02A64">
              <w:rPr>
                <w:rFonts w:ascii="Arial" w:hAnsi="Arial" w:cs="Arial"/>
                <w:bCs/>
                <w:sz w:val="20"/>
                <w:lang w:eastAsia="en-US"/>
              </w:rPr>
              <w:t xml:space="preserve"> </w:t>
            </w:r>
            <w:proofErr w:type="spellStart"/>
            <w:r w:rsidRPr="00F02A64">
              <w:rPr>
                <w:rFonts w:ascii="Arial" w:hAnsi="Arial" w:cs="Arial"/>
                <w:bCs/>
                <w:sz w:val="20"/>
                <w:lang w:eastAsia="en-US"/>
              </w:rPr>
              <w:t>cd</w:t>
            </w:r>
            <w:proofErr w:type="spellEnd"/>
            <w:r w:rsidRPr="00F02A64">
              <w:rPr>
                <w:rFonts w:ascii="Arial" w:hAnsi="Arial" w:cs="Arial"/>
                <w:bCs/>
                <w:sz w:val="20"/>
                <w:lang w:eastAsia="en-US"/>
              </w:rPr>
              <w:t>/m2</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Kontrast</w:t>
            </w:r>
            <w:r>
              <w:rPr>
                <w:rFonts w:ascii="Arial" w:hAnsi="Arial" w:cs="Arial"/>
                <w:bCs/>
                <w:sz w:val="20"/>
              </w:rPr>
              <w:t xml:space="preserve"> statyczny</w:t>
            </w:r>
          </w:p>
        </w:tc>
        <w:tc>
          <w:tcPr>
            <w:tcW w:w="3181" w:type="pct"/>
            <w:vAlign w:val="center"/>
          </w:tcPr>
          <w:p w:rsidR="008C2381" w:rsidRPr="00F02A64" w:rsidRDefault="008C2381" w:rsidP="002A1DBD">
            <w:pPr>
              <w:rPr>
                <w:rFonts w:ascii="Arial" w:hAnsi="Arial" w:cs="Arial"/>
                <w:bCs/>
                <w:sz w:val="20"/>
                <w:lang w:eastAsia="en-US"/>
              </w:rPr>
            </w:pPr>
            <w:r>
              <w:rPr>
                <w:rFonts w:ascii="Arial" w:hAnsi="Arial" w:cs="Arial"/>
                <w:bCs/>
                <w:sz w:val="20"/>
                <w:lang w:eastAsia="en-US"/>
              </w:rPr>
              <w:t>3000</w:t>
            </w:r>
            <w:r w:rsidRPr="00CF2D8C">
              <w:rPr>
                <w:rFonts w:ascii="Arial" w:hAnsi="Arial" w:cs="Arial"/>
                <w:bCs/>
                <w:sz w:val="20"/>
                <w:lang w:eastAsia="en-US"/>
              </w:rPr>
              <w:t>:1</w:t>
            </w:r>
            <w:r>
              <w:rPr>
                <w:rFonts w:ascii="Arial" w:hAnsi="Arial" w:cs="Arial"/>
                <w:bCs/>
                <w:sz w:val="20"/>
                <w:lang w:eastAsia="en-US"/>
              </w:rPr>
              <w:t xml:space="preserve"> </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Kąty widzenia (pion/poziom)</w:t>
            </w:r>
          </w:p>
        </w:tc>
        <w:tc>
          <w:tcPr>
            <w:tcW w:w="3181" w:type="pct"/>
            <w:vAlign w:val="center"/>
          </w:tcPr>
          <w:p w:rsidR="008C2381" w:rsidRPr="00F02A64" w:rsidRDefault="008C2381" w:rsidP="002A1DBD">
            <w:pPr>
              <w:rPr>
                <w:rFonts w:ascii="Arial" w:hAnsi="Arial" w:cs="Arial"/>
                <w:bCs/>
                <w:sz w:val="20"/>
                <w:lang w:eastAsia="en-US"/>
              </w:rPr>
            </w:pPr>
            <w:r>
              <w:rPr>
                <w:rFonts w:ascii="Arial" w:hAnsi="Arial" w:cs="Arial"/>
                <w:bCs/>
                <w:sz w:val="20"/>
                <w:lang w:eastAsia="en-US"/>
              </w:rPr>
              <w:t xml:space="preserve">178/178 </w:t>
            </w:r>
            <w:r w:rsidRPr="00F02A64">
              <w:rPr>
                <w:rFonts w:ascii="Arial" w:hAnsi="Arial" w:cs="Arial"/>
                <w:bCs/>
                <w:sz w:val="20"/>
                <w:lang w:eastAsia="en-US"/>
              </w:rPr>
              <w:t>stopni</w:t>
            </w:r>
          </w:p>
        </w:tc>
      </w:tr>
      <w:tr w:rsidR="008C2381" w:rsidRPr="00F02A64" w:rsidTr="002A1DBD">
        <w:trPr>
          <w:trHeight w:val="243"/>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Czas reakcji matrycy</w:t>
            </w:r>
          </w:p>
        </w:tc>
        <w:tc>
          <w:tcPr>
            <w:tcW w:w="3181" w:type="pct"/>
            <w:vAlign w:val="center"/>
          </w:tcPr>
          <w:p w:rsidR="008C2381" w:rsidRPr="00F02A64" w:rsidRDefault="008C2381" w:rsidP="002A1DBD">
            <w:pPr>
              <w:rPr>
                <w:rFonts w:ascii="Arial" w:hAnsi="Arial" w:cs="Arial"/>
                <w:bCs/>
                <w:sz w:val="20"/>
                <w:lang w:eastAsia="en-US"/>
              </w:rPr>
            </w:pPr>
            <w:r>
              <w:rPr>
                <w:rFonts w:ascii="Arial" w:hAnsi="Arial" w:cs="Arial"/>
                <w:bCs/>
                <w:sz w:val="20"/>
                <w:lang w:eastAsia="en-US"/>
              </w:rPr>
              <w:t xml:space="preserve">max 6 </w:t>
            </w:r>
            <w:proofErr w:type="spellStart"/>
            <w:r w:rsidRPr="00F02A64">
              <w:rPr>
                <w:rFonts w:ascii="Arial" w:hAnsi="Arial" w:cs="Arial"/>
                <w:bCs/>
                <w:sz w:val="20"/>
                <w:lang w:eastAsia="en-US"/>
              </w:rPr>
              <w:t>ms</w:t>
            </w:r>
            <w:proofErr w:type="spellEnd"/>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Rozdzielczość maksymalna</w:t>
            </w:r>
          </w:p>
        </w:tc>
        <w:tc>
          <w:tcPr>
            <w:tcW w:w="3181" w:type="pct"/>
            <w:vAlign w:val="center"/>
          </w:tcPr>
          <w:p w:rsidR="008C2381" w:rsidRPr="00F02A64" w:rsidRDefault="008C2381" w:rsidP="002A1DBD">
            <w:pPr>
              <w:rPr>
                <w:rFonts w:ascii="Arial" w:hAnsi="Arial" w:cs="Arial"/>
                <w:bCs/>
                <w:sz w:val="20"/>
              </w:rPr>
            </w:pPr>
            <w:r>
              <w:rPr>
                <w:rFonts w:ascii="Arial" w:hAnsi="Arial" w:cs="Arial"/>
                <w:bCs/>
                <w:sz w:val="20"/>
                <w:lang w:val="en-US"/>
              </w:rPr>
              <w:t>1920 x 1080</w:t>
            </w:r>
            <w:r w:rsidRPr="00F02A64">
              <w:rPr>
                <w:rFonts w:ascii="Arial" w:hAnsi="Arial" w:cs="Arial"/>
                <w:bCs/>
                <w:sz w:val="20"/>
                <w:lang w:val="en-US"/>
              </w:rPr>
              <w:t xml:space="preserve"> </w:t>
            </w:r>
            <w:proofErr w:type="spellStart"/>
            <w:r w:rsidRPr="00F02A64">
              <w:rPr>
                <w:rFonts w:ascii="Arial" w:hAnsi="Arial" w:cs="Arial"/>
                <w:bCs/>
                <w:sz w:val="20"/>
                <w:lang w:val="en-US"/>
              </w:rPr>
              <w:t>przy</w:t>
            </w:r>
            <w:proofErr w:type="spellEnd"/>
            <w:r w:rsidRPr="00F02A64">
              <w:rPr>
                <w:rFonts w:ascii="Arial" w:hAnsi="Arial" w:cs="Arial"/>
                <w:bCs/>
                <w:sz w:val="20"/>
                <w:lang w:val="en-US"/>
              </w:rPr>
              <w:t xml:space="preserve"> 60Hz</w:t>
            </w:r>
          </w:p>
        </w:tc>
      </w:tr>
      <w:tr w:rsidR="008C2381" w:rsidTr="002A1DBD">
        <w:trPr>
          <w:trHeight w:val="284"/>
        </w:trPr>
        <w:tc>
          <w:tcPr>
            <w:tcW w:w="1568" w:type="pct"/>
          </w:tcPr>
          <w:p w:rsidR="008C2381" w:rsidRPr="00F02A64" w:rsidRDefault="008C2381" w:rsidP="002A1DBD">
            <w:pPr>
              <w:rPr>
                <w:rFonts w:ascii="Arial" w:hAnsi="Arial" w:cs="Arial"/>
                <w:bCs/>
                <w:sz w:val="20"/>
              </w:rPr>
            </w:pPr>
            <w:r w:rsidRPr="00CB02EE">
              <w:rPr>
                <w:rFonts w:ascii="Arial" w:hAnsi="Arial" w:cs="Arial"/>
                <w:bCs/>
                <w:sz w:val="20"/>
              </w:rPr>
              <w:t>Wyświetlane kolory</w:t>
            </w:r>
          </w:p>
        </w:tc>
        <w:tc>
          <w:tcPr>
            <w:tcW w:w="3181" w:type="pct"/>
            <w:vAlign w:val="center"/>
          </w:tcPr>
          <w:p w:rsidR="008C2381" w:rsidRDefault="008C2381" w:rsidP="002A1DBD">
            <w:pPr>
              <w:rPr>
                <w:rFonts w:ascii="Arial" w:hAnsi="Arial" w:cs="Arial"/>
                <w:bCs/>
                <w:sz w:val="20"/>
              </w:rPr>
            </w:pPr>
            <w:r w:rsidRPr="00CB02EE">
              <w:rPr>
                <w:rFonts w:ascii="Arial" w:hAnsi="Arial" w:cs="Arial"/>
                <w:bCs/>
                <w:sz w:val="20"/>
              </w:rPr>
              <w:t>16.7</w:t>
            </w:r>
            <w:r>
              <w:rPr>
                <w:rFonts w:ascii="Arial" w:hAnsi="Arial" w:cs="Arial"/>
                <w:bCs/>
                <w:sz w:val="20"/>
              </w:rPr>
              <w:t xml:space="preserve"> milionów</w:t>
            </w:r>
          </w:p>
        </w:tc>
      </w:tr>
      <w:tr w:rsidR="008C2381" w:rsidRPr="00BB75B2" w:rsidTr="002A1DBD">
        <w:trPr>
          <w:trHeight w:val="284"/>
        </w:trPr>
        <w:tc>
          <w:tcPr>
            <w:tcW w:w="1568" w:type="pct"/>
          </w:tcPr>
          <w:p w:rsidR="008C2381" w:rsidRPr="00F02A64" w:rsidRDefault="008C2381" w:rsidP="002A1DBD">
            <w:pPr>
              <w:rPr>
                <w:rFonts w:ascii="Arial" w:hAnsi="Arial" w:cs="Arial"/>
                <w:bCs/>
                <w:sz w:val="20"/>
              </w:rPr>
            </w:pPr>
            <w:r>
              <w:rPr>
                <w:rFonts w:ascii="Arial" w:hAnsi="Arial" w:cs="Arial"/>
                <w:bCs/>
                <w:sz w:val="20"/>
              </w:rPr>
              <w:t>Zakres pochylenie monitora</w:t>
            </w:r>
          </w:p>
        </w:tc>
        <w:tc>
          <w:tcPr>
            <w:tcW w:w="3181" w:type="pct"/>
            <w:vAlign w:val="center"/>
          </w:tcPr>
          <w:p w:rsidR="008C2381" w:rsidRPr="00BB75B2" w:rsidRDefault="008C2381" w:rsidP="002A1DBD">
            <w:pPr>
              <w:rPr>
                <w:rFonts w:ascii="Arial" w:hAnsi="Arial" w:cs="Arial"/>
                <w:bCs/>
                <w:sz w:val="20"/>
              </w:rPr>
            </w:pPr>
            <w:r w:rsidRPr="00CB02EE">
              <w:rPr>
                <w:rFonts w:ascii="Arial" w:hAnsi="Arial" w:cs="Arial"/>
                <w:bCs/>
                <w:sz w:val="20"/>
              </w:rPr>
              <w:t>+20°~-5°</w:t>
            </w:r>
            <w:r>
              <w:rPr>
                <w:rFonts w:ascii="Arial" w:hAnsi="Arial" w:cs="Arial"/>
                <w:bCs/>
                <w:sz w:val="20"/>
              </w:rPr>
              <w:t xml:space="preserve"> </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Powłoka powierzchni ekranu</w:t>
            </w:r>
          </w:p>
        </w:tc>
        <w:tc>
          <w:tcPr>
            <w:tcW w:w="3181" w:type="pct"/>
            <w:vAlign w:val="center"/>
          </w:tcPr>
          <w:p w:rsidR="008C2381" w:rsidRPr="00F02A64" w:rsidRDefault="008C2381" w:rsidP="002A1DBD">
            <w:pPr>
              <w:rPr>
                <w:rFonts w:ascii="Arial" w:hAnsi="Arial" w:cs="Arial"/>
                <w:bCs/>
                <w:sz w:val="20"/>
              </w:rPr>
            </w:pPr>
            <w:proofErr w:type="spellStart"/>
            <w:r w:rsidRPr="00BB75B2">
              <w:rPr>
                <w:rFonts w:ascii="Arial" w:hAnsi="Arial" w:cs="Arial"/>
                <w:bCs/>
                <w:sz w:val="20"/>
              </w:rPr>
              <w:t>Antyodblaskowa</w:t>
            </w:r>
            <w:proofErr w:type="spellEnd"/>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Podświetlenie</w:t>
            </w:r>
          </w:p>
        </w:tc>
        <w:tc>
          <w:tcPr>
            <w:tcW w:w="3181" w:type="pct"/>
            <w:vAlign w:val="center"/>
          </w:tcPr>
          <w:p w:rsidR="008C2381" w:rsidRPr="00F02A64" w:rsidRDefault="008C2381" w:rsidP="002A1DBD">
            <w:pPr>
              <w:rPr>
                <w:rFonts w:ascii="Arial" w:hAnsi="Arial" w:cs="Arial"/>
                <w:bCs/>
                <w:sz w:val="20"/>
              </w:rPr>
            </w:pPr>
            <w:r w:rsidRPr="00F02A64">
              <w:rPr>
                <w:rFonts w:ascii="Arial" w:hAnsi="Arial" w:cs="Arial"/>
                <w:bCs/>
                <w:sz w:val="20"/>
              </w:rPr>
              <w:t xml:space="preserve">System podświetlenia </w:t>
            </w:r>
            <w:r>
              <w:rPr>
                <w:rFonts w:ascii="Arial" w:hAnsi="Arial" w:cs="Arial"/>
                <w:bCs/>
                <w:sz w:val="20"/>
              </w:rPr>
              <w:t>LED</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Pr>
                <w:rFonts w:ascii="Arial" w:hAnsi="Arial" w:cs="Arial"/>
                <w:bCs/>
                <w:sz w:val="20"/>
              </w:rPr>
              <w:t>Zużycie energii</w:t>
            </w:r>
          </w:p>
        </w:tc>
        <w:tc>
          <w:tcPr>
            <w:tcW w:w="3181" w:type="pct"/>
            <w:vAlign w:val="center"/>
          </w:tcPr>
          <w:p w:rsidR="008C2381" w:rsidRPr="00F02A64" w:rsidRDefault="008C2381" w:rsidP="002A1DBD">
            <w:pPr>
              <w:rPr>
                <w:rFonts w:ascii="Arial" w:hAnsi="Arial" w:cs="Arial"/>
                <w:bCs/>
                <w:sz w:val="20"/>
              </w:rPr>
            </w:pPr>
            <w:r>
              <w:rPr>
                <w:rFonts w:ascii="Arial" w:hAnsi="Arial" w:cs="Arial"/>
                <w:bCs/>
                <w:sz w:val="20"/>
              </w:rPr>
              <w:t>Typowo 25W, czuwanie mniej niż 0,5W</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Bezpieczeństwo</w:t>
            </w:r>
          </w:p>
        </w:tc>
        <w:tc>
          <w:tcPr>
            <w:tcW w:w="3181" w:type="pct"/>
            <w:vAlign w:val="center"/>
          </w:tcPr>
          <w:p w:rsidR="008C2381" w:rsidRPr="00F02A64" w:rsidRDefault="008C2381" w:rsidP="002A1DBD">
            <w:pPr>
              <w:rPr>
                <w:rFonts w:ascii="Arial" w:hAnsi="Arial" w:cs="Arial"/>
                <w:bCs/>
                <w:sz w:val="20"/>
              </w:rPr>
            </w:pPr>
            <w:r w:rsidRPr="00F02A64">
              <w:rPr>
                <w:rFonts w:ascii="Arial" w:hAnsi="Arial" w:cs="Arial"/>
                <w:bCs/>
                <w:sz w:val="20"/>
              </w:rPr>
              <w:t xml:space="preserve">Monitor musi być wyposażony w tzw. </w:t>
            </w:r>
            <w:proofErr w:type="spellStart"/>
            <w:r w:rsidRPr="00F02A64">
              <w:rPr>
                <w:rFonts w:ascii="Arial" w:hAnsi="Arial" w:cs="Arial"/>
                <w:bCs/>
                <w:sz w:val="20"/>
              </w:rPr>
              <w:t>Kensington</w:t>
            </w:r>
            <w:proofErr w:type="spellEnd"/>
            <w:r w:rsidRPr="00F02A64">
              <w:rPr>
                <w:rFonts w:ascii="Arial" w:hAnsi="Arial" w:cs="Arial"/>
                <w:bCs/>
                <w:sz w:val="20"/>
              </w:rPr>
              <w:t xml:space="preserve"> Slot</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 xml:space="preserve">Waga </w:t>
            </w:r>
          </w:p>
        </w:tc>
        <w:tc>
          <w:tcPr>
            <w:tcW w:w="3181" w:type="pct"/>
            <w:vAlign w:val="center"/>
          </w:tcPr>
          <w:p w:rsidR="008C2381" w:rsidRPr="00F02A64" w:rsidRDefault="008C2381" w:rsidP="002A1DBD">
            <w:pPr>
              <w:rPr>
                <w:rFonts w:ascii="Arial" w:hAnsi="Arial" w:cs="Arial"/>
                <w:bCs/>
                <w:sz w:val="20"/>
              </w:rPr>
            </w:pPr>
            <w:r>
              <w:rPr>
                <w:rFonts w:ascii="Arial" w:hAnsi="Arial" w:cs="Arial"/>
                <w:bCs/>
                <w:sz w:val="20"/>
              </w:rPr>
              <w:t>Maksymalnie 6</w:t>
            </w:r>
            <w:r w:rsidRPr="00F02A64">
              <w:rPr>
                <w:rFonts w:ascii="Arial" w:hAnsi="Arial" w:cs="Arial"/>
                <w:bCs/>
                <w:sz w:val="20"/>
              </w:rPr>
              <w:t xml:space="preserve"> kg</w:t>
            </w:r>
          </w:p>
        </w:tc>
      </w:tr>
      <w:tr w:rsidR="008C2381" w:rsidRPr="00BC7440"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 xml:space="preserve">Złącze </w:t>
            </w:r>
          </w:p>
        </w:tc>
        <w:tc>
          <w:tcPr>
            <w:tcW w:w="3181" w:type="pct"/>
            <w:vAlign w:val="center"/>
          </w:tcPr>
          <w:p w:rsidR="008C2381" w:rsidRPr="00FC2FE2" w:rsidRDefault="008C2381" w:rsidP="002A1DBD">
            <w:pPr>
              <w:rPr>
                <w:rFonts w:ascii="Arial" w:hAnsi="Arial" w:cs="Arial"/>
                <w:bCs/>
                <w:sz w:val="20"/>
              </w:rPr>
            </w:pPr>
            <w:proofErr w:type="spellStart"/>
            <w:r w:rsidRPr="00CF2D8C">
              <w:rPr>
                <w:rFonts w:ascii="Arial" w:hAnsi="Arial" w:cs="Arial"/>
                <w:bCs/>
                <w:sz w:val="20"/>
              </w:rPr>
              <w:t>DisplayPort</w:t>
            </w:r>
            <w:proofErr w:type="spellEnd"/>
            <w:r w:rsidRPr="00FC2FE2">
              <w:rPr>
                <w:rFonts w:ascii="Arial" w:hAnsi="Arial" w:cs="Arial"/>
                <w:bCs/>
                <w:sz w:val="20"/>
              </w:rPr>
              <w:t xml:space="preserve"> - 1 szt.</w:t>
            </w:r>
          </w:p>
          <w:p w:rsidR="008C2381" w:rsidRPr="00BC7440" w:rsidRDefault="008C2381" w:rsidP="002A1DBD">
            <w:pPr>
              <w:rPr>
                <w:rFonts w:ascii="Arial" w:hAnsi="Arial" w:cs="Arial"/>
                <w:bCs/>
                <w:sz w:val="20"/>
              </w:rPr>
            </w:pPr>
            <w:r w:rsidRPr="00FC2FE2">
              <w:rPr>
                <w:rFonts w:ascii="Arial" w:hAnsi="Arial" w:cs="Arial"/>
                <w:bCs/>
                <w:sz w:val="20"/>
              </w:rPr>
              <w:t xml:space="preserve">HDMI - </w:t>
            </w:r>
            <w:r>
              <w:rPr>
                <w:rFonts w:ascii="Arial" w:hAnsi="Arial" w:cs="Arial"/>
                <w:bCs/>
                <w:sz w:val="20"/>
              </w:rPr>
              <w:t>1</w:t>
            </w:r>
            <w:r w:rsidRPr="00FC2FE2">
              <w:rPr>
                <w:rFonts w:ascii="Arial" w:hAnsi="Arial" w:cs="Arial"/>
                <w:bCs/>
                <w:sz w:val="20"/>
              </w:rPr>
              <w:t xml:space="preserve"> szt.</w:t>
            </w:r>
          </w:p>
        </w:tc>
      </w:tr>
      <w:tr w:rsidR="008C2381" w:rsidRPr="00F02A64" w:rsidTr="002A1DBD">
        <w:trPr>
          <w:trHeight w:val="1501"/>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Gwarancja</w:t>
            </w:r>
          </w:p>
        </w:tc>
        <w:tc>
          <w:tcPr>
            <w:tcW w:w="3181" w:type="pct"/>
          </w:tcPr>
          <w:p w:rsidR="008C2381" w:rsidRPr="00F02A64" w:rsidRDefault="008C2381" w:rsidP="002A1DBD">
            <w:pPr>
              <w:rPr>
                <w:rFonts w:ascii="Arial" w:hAnsi="Arial" w:cs="Arial"/>
                <w:bCs/>
                <w:sz w:val="20"/>
              </w:rPr>
            </w:pPr>
            <w:r>
              <w:rPr>
                <w:rFonts w:ascii="Arial" w:hAnsi="Arial" w:cs="Arial"/>
                <w:bCs/>
                <w:sz w:val="20"/>
              </w:rPr>
              <w:t>3 lata gwarancji z c</w:t>
            </w:r>
            <w:r w:rsidRPr="00F02A64">
              <w:rPr>
                <w:rFonts w:ascii="Arial" w:hAnsi="Arial" w:cs="Arial"/>
                <w:bCs/>
                <w:sz w:val="20"/>
              </w:rPr>
              <w:t>zas</w:t>
            </w:r>
            <w:r>
              <w:rPr>
                <w:rFonts w:ascii="Arial" w:hAnsi="Arial" w:cs="Arial"/>
                <w:bCs/>
                <w:sz w:val="20"/>
              </w:rPr>
              <w:t>em</w:t>
            </w:r>
            <w:r w:rsidRPr="00F02A64">
              <w:rPr>
                <w:rFonts w:ascii="Arial" w:hAnsi="Arial" w:cs="Arial"/>
                <w:bCs/>
                <w:sz w:val="20"/>
              </w:rPr>
              <w:t xml:space="preserve"> reakcji serwisu - do końca następnego dnia roboczego</w:t>
            </w:r>
          </w:p>
          <w:p w:rsidR="008C2381" w:rsidRPr="00F02A64" w:rsidRDefault="008C2381" w:rsidP="002A1DBD">
            <w:pPr>
              <w:rPr>
                <w:rFonts w:ascii="Arial" w:hAnsi="Arial" w:cs="Arial"/>
                <w:bCs/>
                <w:sz w:val="20"/>
              </w:rPr>
            </w:pPr>
            <w:r w:rsidRPr="00F02A64">
              <w:rPr>
                <w:rFonts w:ascii="Arial" w:hAnsi="Arial" w:cs="Arial"/>
                <w:bCs/>
                <w:sz w:val="20"/>
              </w:rPr>
              <w:t>Firma serwisująca musi posiadać ISO 9001:2000 na świadczenie usług serwisowych oraz posiadać autoryzacje producenta komputera – dokumenty potwierdzające załączyć do oferty.</w:t>
            </w:r>
          </w:p>
        </w:tc>
      </w:tr>
      <w:tr w:rsidR="008C2381" w:rsidRPr="00F02A64" w:rsidTr="002A1DBD">
        <w:trPr>
          <w:trHeight w:val="284"/>
        </w:trPr>
        <w:tc>
          <w:tcPr>
            <w:tcW w:w="1568" w:type="pct"/>
          </w:tcPr>
          <w:p w:rsidR="008C2381" w:rsidRPr="00F02A64" w:rsidRDefault="008C2381" w:rsidP="002A1DBD">
            <w:pPr>
              <w:rPr>
                <w:rFonts w:ascii="Arial" w:hAnsi="Arial" w:cs="Arial"/>
                <w:bCs/>
                <w:sz w:val="20"/>
              </w:rPr>
            </w:pPr>
            <w:r w:rsidRPr="00F02A64">
              <w:rPr>
                <w:rFonts w:ascii="Arial" w:hAnsi="Arial" w:cs="Arial"/>
                <w:bCs/>
                <w:sz w:val="20"/>
              </w:rPr>
              <w:t>Inne</w:t>
            </w:r>
          </w:p>
        </w:tc>
        <w:tc>
          <w:tcPr>
            <w:tcW w:w="3181" w:type="pct"/>
          </w:tcPr>
          <w:p w:rsidR="008C2381" w:rsidRDefault="008C2381" w:rsidP="002A1DBD">
            <w:pPr>
              <w:rPr>
                <w:rFonts w:ascii="Arial" w:hAnsi="Arial" w:cs="Arial"/>
                <w:bCs/>
                <w:sz w:val="20"/>
              </w:rPr>
            </w:pPr>
            <w:r>
              <w:rPr>
                <w:rFonts w:ascii="Arial" w:hAnsi="Arial" w:cs="Arial"/>
                <w:bCs/>
                <w:sz w:val="20"/>
              </w:rPr>
              <w:t>Odłączana stopa, VESA 100mm</w:t>
            </w:r>
          </w:p>
          <w:p w:rsidR="008C2381" w:rsidRPr="00FC2FE2" w:rsidRDefault="008C2381" w:rsidP="002A1DBD">
            <w:pPr>
              <w:rPr>
                <w:rFonts w:ascii="Arial" w:hAnsi="Arial" w:cs="Arial"/>
                <w:bCs/>
                <w:sz w:val="20"/>
              </w:rPr>
            </w:pPr>
            <w:r w:rsidRPr="00FC2FE2">
              <w:rPr>
                <w:rFonts w:ascii="Arial" w:hAnsi="Arial" w:cs="Arial"/>
                <w:bCs/>
                <w:sz w:val="20"/>
              </w:rPr>
              <w:t>Redukcja migotania (</w:t>
            </w:r>
            <w:proofErr w:type="spellStart"/>
            <w:r w:rsidRPr="00FC2FE2">
              <w:rPr>
                <w:rFonts w:ascii="Arial" w:hAnsi="Arial" w:cs="Arial"/>
                <w:bCs/>
                <w:sz w:val="20"/>
              </w:rPr>
              <w:t>Flicker</w:t>
            </w:r>
            <w:proofErr w:type="spellEnd"/>
            <w:r w:rsidRPr="00FC2FE2">
              <w:rPr>
                <w:rFonts w:ascii="Arial" w:hAnsi="Arial" w:cs="Arial"/>
                <w:bCs/>
                <w:sz w:val="20"/>
              </w:rPr>
              <w:t xml:space="preserve"> </w:t>
            </w:r>
            <w:proofErr w:type="spellStart"/>
            <w:r w:rsidRPr="00FC2FE2">
              <w:rPr>
                <w:rFonts w:ascii="Arial" w:hAnsi="Arial" w:cs="Arial"/>
                <w:bCs/>
                <w:sz w:val="20"/>
              </w:rPr>
              <w:t>free</w:t>
            </w:r>
            <w:proofErr w:type="spellEnd"/>
            <w:r w:rsidRPr="00FC2FE2">
              <w:rPr>
                <w:rFonts w:ascii="Arial" w:hAnsi="Arial" w:cs="Arial"/>
                <w:bCs/>
                <w:sz w:val="20"/>
              </w:rPr>
              <w:t>)</w:t>
            </w:r>
          </w:p>
          <w:p w:rsidR="008C2381" w:rsidRDefault="008C2381" w:rsidP="002A1DBD">
            <w:pPr>
              <w:rPr>
                <w:rFonts w:ascii="Arial" w:hAnsi="Arial" w:cs="Arial"/>
                <w:bCs/>
                <w:sz w:val="20"/>
              </w:rPr>
            </w:pPr>
            <w:r w:rsidRPr="00FC2FE2">
              <w:rPr>
                <w:rFonts w:ascii="Arial" w:hAnsi="Arial" w:cs="Arial"/>
                <w:bCs/>
                <w:sz w:val="20"/>
              </w:rPr>
              <w:t>Filtr światła niebieskiego</w:t>
            </w:r>
            <w:r>
              <w:rPr>
                <w:rFonts w:ascii="Arial" w:hAnsi="Arial" w:cs="Arial"/>
                <w:bCs/>
                <w:sz w:val="20"/>
              </w:rPr>
              <w:t xml:space="preserve"> </w:t>
            </w:r>
          </w:p>
          <w:p w:rsidR="008C2381" w:rsidRDefault="008C2381" w:rsidP="002A1DBD">
            <w:pPr>
              <w:rPr>
                <w:rFonts w:ascii="Arial" w:hAnsi="Arial" w:cs="Arial"/>
                <w:bCs/>
                <w:sz w:val="20"/>
              </w:rPr>
            </w:pPr>
            <w:r>
              <w:rPr>
                <w:rFonts w:ascii="Arial" w:hAnsi="Arial" w:cs="Arial"/>
                <w:bCs/>
                <w:sz w:val="20"/>
              </w:rPr>
              <w:t xml:space="preserve">głośniki 2x2W </w:t>
            </w:r>
          </w:p>
          <w:p w:rsidR="008C2381" w:rsidRPr="00F02A64" w:rsidRDefault="008C2381" w:rsidP="002A1DBD">
            <w:pPr>
              <w:rPr>
                <w:rFonts w:ascii="Arial" w:hAnsi="Arial" w:cs="Arial"/>
                <w:bCs/>
                <w:sz w:val="20"/>
              </w:rPr>
            </w:pPr>
            <w:r>
              <w:rPr>
                <w:rFonts w:ascii="Arial" w:hAnsi="Arial" w:cs="Arial"/>
                <w:bCs/>
                <w:sz w:val="20"/>
              </w:rPr>
              <w:t xml:space="preserve">Regulacja wysokości monitora w zakresie min. 10cm. </w:t>
            </w:r>
          </w:p>
        </w:tc>
      </w:tr>
    </w:tbl>
    <w:p w:rsidR="008C2381" w:rsidRPr="009771C7" w:rsidRDefault="008C2381" w:rsidP="008C2381">
      <w:pPr>
        <w:pStyle w:val="Tekstpodstawowy"/>
        <w:spacing w:line="360" w:lineRule="auto"/>
        <w:ind w:left="720"/>
        <w:rPr>
          <w:rFonts w:asciiTheme="minorHAnsi" w:hAnsiTheme="minorHAnsi" w:cstheme="minorHAnsi"/>
          <w:bCs/>
          <w:sz w:val="20"/>
        </w:rPr>
      </w:pPr>
    </w:p>
    <w:p w:rsidR="008C2381" w:rsidRPr="008C2381" w:rsidRDefault="008C2381" w:rsidP="008C2381">
      <w:pPr>
        <w:pStyle w:val="Akapitzlist"/>
        <w:numPr>
          <w:ilvl w:val="0"/>
          <w:numId w:val="8"/>
        </w:numPr>
        <w:spacing w:before="1"/>
        <w:rPr>
          <w:b/>
          <w:sz w:val="36"/>
          <w:szCs w:val="36"/>
          <w:lang w:val="en-US"/>
        </w:rPr>
      </w:pPr>
      <w:r w:rsidRPr="008C2381">
        <w:rPr>
          <w:b/>
          <w:sz w:val="36"/>
          <w:szCs w:val="36"/>
          <w:lang w:val="en-US"/>
        </w:rPr>
        <w:lastRenderedPageBreak/>
        <w:t xml:space="preserve">Microsoft Office Home &amp; Business 2021 BOX </w:t>
      </w:r>
      <w:proofErr w:type="spellStart"/>
      <w:r w:rsidRPr="008C2381">
        <w:rPr>
          <w:b/>
          <w:sz w:val="36"/>
          <w:szCs w:val="36"/>
          <w:lang w:val="en-US"/>
        </w:rPr>
        <w:t>lub</w:t>
      </w:r>
      <w:proofErr w:type="spellEnd"/>
      <w:r w:rsidRPr="008C2381">
        <w:rPr>
          <w:b/>
          <w:sz w:val="36"/>
          <w:szCs w:val="36"/>
          <w:lang w:val="en-US"/>
        </w:rPr>
        <w:t xml:space="preserve"> </w:t>
      </w:r>
      <w:proofErr w:type="spellStart"/>
      <w:r w:rsidRPr="008C2381">
        <w:rPr>
          <w:b/>
          <w:sz w:val="36"/>
          <w:szCs w:val="36"/>
          <w:lang w:val="en-US"/>
        </w:rPr>
        <w:t>równoważny</w:t>
      </w:r>
      <w:proofErr w:type="spellEnd"/>
      <w:r w:rsidRPr="008C2381">
        <w:rPr>
          <w:b/>
          <w:sz w:val="36"/>
          <w:szCs w:val="36"/>
          <w:lang w:val="en-US"/>
        </w:rPr>
        <w:t xml:space="preserve"> </w:t>
      </w:r>
      <w:proofErr w:type="spellStart"/>
      <w:r w:rsidRPr="008C2381">
        <w:rPr>
          <w:b/>
          <w:sz w:val="36"/>
          <w:szCs w:val="36"/>
          <w:lang w:val="en-US"/>
        </w:rPr>
        <w:t>Pakiet</w:t>
      </w:r>
      <w:proofErr w:type="spellEnd"/>
      <w:r w:rsidRPr="008C2381">
        <w:rPr>
          <w:b/>
          <w:sz w:val="36"/>
          <w:szCs w:val="36"/>
          <w:lang w:val="en-US"/>
        </w:rPr>
        <w:t xml:space="preserve"> </w:t>
      </w:r>
      <w:proofErr w:type="spellStart"/>
      <w:r w:rsidRPr="008C2381">
        <w:rPr>
          <w:b/>
          <w:sz w:val="36"/>
          <w:szCs w:val="36"/>
          <w:lang w:val="en-US"/>
        </w:rPr>
        <w:t>biurowy</w:t>
      </w:r>
      <w:proofErr w:type="spellEnd"/>
      <w:r w:rsidRPr="008C2381">
        <w:rPr>
          <w:b/>
          <w:sz w:val="36"/>
          <w:szCs w:val="36"/>
          <w:lang w:val="en-US"/>
        </w:rPr>
        <w:t xml:space="preserve"> – 9 </w:t>
      </w:r>
      <w:proofErr w:type="spellStart"/>
      <w:r w:rsidRPr="008C2381">
        <w:rPr>
          <w:b/>
          <w:sz w:val="36"/>
          <w:szCs w:val="36"/>
          <w:lang w:val="en-US"/>
        </w:rPr>
        <w:t>szt</w:t>
      </w:r>
      <w:proofErr w:type="spellEnd"/>
      <w:r w:rsidRPr="008C2381">
        <w:rPr>
          <w:b/>
          <w:sz w:val="36"/>
          <w:szCs w:val="36"/>
          <w:lang w:val="en-US"/>
        </w:rPr>
        <w:t>.</w:t>
      </w:r>
    </w:p>
    <w:p w:rsidR="008C2381" w:rsidRPr="008C2381" w:rsidRDefault="008C2381" w:rsidP="008C2381">
      <w:pPr>
        <w:pStyle w:val="Tekstpodstawowy"/>
        <w:spacing w:before="9"/>
        <w:rPr>
          <w:b/>
          <w:sz w:val="15"/>
          <w:lang w:val="en-US"/>
        </w:rPr>
      </w:pPr>
    </w:p>
    <w:p w:rsidR="008C2381" w:rsidRDefault="008C2381" w:rsidP="008C2381">
      <w:pPr>
        <w:pStyle w:val="Nagwek1"/>
        <w:spacing w:before="56" w:line="261" w:lineRule="auto"/>
        <w:ind w:left="396" w:right="334" w:firstLine="0"/>
      </w:pPr>
      <w:r>
        <w:t>Pakiet biurowy musi spełniać następujące wymagania poprzez wbudowane mechanizmy, bez użycia dodatkowych aplikacji:</w:t>
      </w:r>
    </w:p>
    <w:p w:rsidR="008C2381" w:rsidRDefault="008C2381" w:rsidP="008C2381">
      <w:pPr>
        <w:pStyle w:val="Akapitzlist"/>
        <w:widowControl w:val="0"/>
        <w:numPr>
          <w:ilvl w:val="0"/>
          <w:numId w:val="17"/>
        </w:numPr>
        <w:tabs>
          <w:tab w:val="left" w:pos="541"/>
        </w:tabs>
        <w:autoSpaceDE w:val="0"/>
        <w:autoSpaceDN w:val="0"/>
        <w:spacing w:before="70" w:line="261" w:lineRule="auto"/>
        <w:ind w:right="163"/>
        <w:contextualSpacing w:val="0"/>
        <w:rPr>
          <w:sz w:val="20"/>
        </w:rPr>
      </w:pPr>
      <w:r>
        <w:rPr>
          <w:sz w:val="20"/>
        </w:rPr>
        <w:t>Dostępność pakietu w wersjach 32-bit oraz 64-bit umożliwiającej wykorzystanie ponad 2 GB przestrzeni</w:t>
      </w:r>
      <w:r>
        <w:rPr>
          <w:spacing w:val="3"/>
          <w:sz w:val="20"/>
        </w:rPr>
        <w:t xml:space="preserve"> </w:t>
      </w:r>
      <w:r>
        <w:rPr>
          <w:sz w:val="20"/>
        </w:rPr>
        <w:t>adresowej.</w:t>
      </w:r>
    </w:p>
    <w:p w:rsidR="008C2381" w:rsidRDefault="008C2381" w:rsidP="008C2381">
      <w:pPr>
        <w:pStyle w:val="Akapitzlist"/>
        <w:widowControl w:val="0"/>
        <w:numPr>
          <w:ilvl w:val="0"/>
          <w:numId w:val="17"/>
        </w:numPr>
        <w:tabs>
          <w:tab w:val="left" w:pos="541"/>
        </w:tabs>
        <w:autoSpaceDE w:val="0"/>
        <w:autoSpaceDN w:val="0"/>
        <w:spacing w:before="65"/>
        <w:contextualSpacing w:val="0"/>
        <w:rPr>
          <w:sz w:val="20"/>
        </w:rPr>
      </w:pPr>
      <w:r>
        <w:rPr>
          <w:sz w:val="20"/>
        </w:rPr>
        <w:t>Wymagania odnośnie interfejsu</w:t>
      </w:r>
      <w:r>
        <w:rPr>
          <w:spacing w:val="-6"/>
          <w:sz w:val="20"/>
        </w:rPr>
        <w:t xml:space="preserve"> </w:t>
      </w:r>
      <w:r>
        <w:rPr>
          <w:sz w:val="20"/>
        </w:rPr>
        <w:t>użytkownika:</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Pełna polska wersja językowa interfejsu</w:t>
      </w:r>
      <w:r>
        <w:rPr>
          <w:spacing w:val="-1"/>
          <w:sz w:val="20"/>
        </w:rPr>
        <w:t xml:space="preserve"> </w:t>
      </w:r>
      <w:r>
        <w:rPr>
          <w:sz w:val="20"/>
        </w:rPr>
        <w:t>użytkownika.</w:t>
      </w:r>
    </w:p>
    <w:p w:rsidR="008C2381" w:rsidRDefault="008C2381" w:rsidP="008C2381">
      <w:pPr>
        <w:pStyle w:val="Akapitzlist"/>
        <w:widowControl w:val="0"/>
        <w:numPr>
          <w:ilvl w:val="1"/>
          <w:numId w:val="17"/>
        </w:numPr>
        <w:tabs>
          <w:tab w:val="left" w:pos="819"/>
        </w:tabs>
        <w:autoSpaceDE w:val="0"/>
        <w:autoSpaceDN w:val="0"/>
        <w:spacing w:before="95" w:line="261" w:lineRule="auto"/>
        <w:ind w:left="823" w:right="174" w:hanging="284"/>
        <w:contextualSpacing w:val="0"/>
        <w:jc w:val="both"/>
        <w:rPr>
          <w:sz w:val="20"/>
        </w:rPr>
      </w:pPr>
      <w:r>
        <w:rPr>
          <w:sz w:val="20"/>
        </w:rPr>
        <w:t>Prostota i intuicyjność obsługi, pozwalająca na pracę osobom nieposiadającym umiejętności technicznych.</w:t>
      </w:r>
    </w:p>
    <w:p w:rsidR="008C2381" w:rsidRDefault="008C2381" w:rsidP="008C2381">
      <w:pPr>
        <w:pStyle w:val="Akapitzlist"/>
        <w:widowControl w:val="0"/>
        <w:numPr>
          <w:ilvl w:val="0"/>
          <w:numId w:val="17"/>
        </w:numPr>
        <w:tabs>
          <w:tab w:val="left" w:pos="541"/>
        </w:tabs>
        <w:autoSpaceDE w:val="0"/>
        <w:autoSpaceDN w:val="0"/>
        <w:spacing w:before="70" w:line="261" w:lineRule="auto"/>
        <w:ind w:right="171"/>
        <w:contextualSpacing w:val="0"/>
        <w:jc w:val="both"/>
        <w:rPr>
          <w:sz w:val="20"/>
        </w:rPr>
      </w:pPr>
      <w:r>
        <w:rPr>
          <w:sz w:val="20"/>
        </w:rPr>
        <w:t>Oprogramowanie musi umożliwiać tworzenie i edycję dokumentów elektronicznych w ustalonym formacie, który spełnia następujące</w:t>
      </w:r>
      <w:r>
        <w:rPr>
          <w:spacing w:val="3"/>
          <w:sz w:val="20"/>
        </w:rPr>
        <w:t xml:space="preserve"> </w:t>
      </w:r>
      <w:r>
        <w:rPr>
          <w:sz w:val="20"/>
        </w:rPr>
        <w:t>warunki:</w:t>
      </w:r>
    </w:p>
    <w:p w:rsidR="008C2381" w:rsidRDefault="008C2381" w:rsidP="008C2381">
      <w:pPr>
        <w:pStyle w:val="Akapitzlist"/>
        <w:widowControl w:val="0"/>
        <w:numPr>
          <w:ilvl w:val="1"/>
          <w:numId w:val="17"/>
        </w:numPr>
        <w:tabs>
          <w:tab w:val="left" w:pos="819"/>
        </w:tabs>
        <w:autoSpaceDE w:val="0"/>
        <w:autoSpaceDN w:val="0"/>
        <w:spacing w:before="60"/>
        <w:contextualSpacing w:val="0"/>
        <w:jc w:val="both"/>
        <w:rPr>
          <w:sz w:val="20"/>
        </w:rPr>
      </w:pPr>
      <w:r>
        <w:rPr>
          <w:sz w:val="20"/>
        </w:rPr>
        <w:t>Posiada kompletny i publicznie dostępny opis</w:t>
      </w:r>
      <w:r>
        <w:rPr>
          <w:spacing w:val="-15"/>
          <w:sz w:val="20"/>
        </w:rPr>
        <w:t xml:space="preserve"> </w:t>
      </w:r>
      <w:r>
        <w:rPr>
          <w:sz w:val="20"/>
        </w:rPr>
        <w:t>formatu.</w:t>
      </w:r>
    </w:p>
    <w:p w:rsidR="008C2381" w:rsidRDefault="008C2381" w:rsidP="008C2381">
      <w:pPr>
        <w:pStyle w:val="Akapitzlist"/>
        <w:widowControl w:val="0"/>
        <w:numPr>
          <w:ilvl w:val="1"/>
          <w:numId w:val="17"/>
        </w:numPr>
        <w:tabs>
          <w:tab w:val="left" w:pos="819"/>
        </w:tabs>
        <w:autoSpaceDE w:val="0"/>
        <w:autoSpaceDN w:val="0"/>
        <w:spacing w:before="88"/>
        <w:contextualSpacing w:val="0"/>
        <w:jc w:val="both"/>
        <w:rPr>
          <w:sz w:val="20"/>
        </w:rPr>
      </w:pPr>
      <w:r>
        <w:rPr>
          <w:sz w:val="20"/>
        </w:rPr>
        <w:t>Ma zdefiniowany układ informacji w postaci XML zgodnie z Załącznikiem</w:t>
      </w:r>
      <w:r>
        <w:rPr>
          <w:spacing w:val="-2"/>
          <w:sz w:val="20"/>
        </w:rPr>
        <w:t xml:space="preserve"> </w:t>
      </w:r>
      <w:r>
        <w:rPr>
          <w:sz w:val="20"/>
        </w:rPr>
        <w:t>2</w:t>
      </w:r>
    </w:p>
    <w:p w:rsidR="008C2381" w:rsidRDefault="008C2381" w:rsidP="008C2381">
      <w:pPr>
        <w:pStyle w:val="Tekstpodstawowy"/>
        <w:spacing w:before="91" w:line="264" w:lineRule="auto"/>
        <w:ind w:left="823" w:right="171"/>
      </w:pPr>
      <w:r>
        <w:t xml:space="preserve">Rozporządzenia Rady Ministrów z dnia 12 kwietnia 2012 r. w sprawie Krajowych Ram </w:t>
      </w:r>
      <w:proofErr w:type="spellStart"/>
      <w:r>
        <w:t>Interoperacyjności</w:t>
      </w:r>
      <w:proofErr w:type="spellEnd"/>
      <w:r>
        <w:t>,  minimalnych  wymagań  dla  rejestrów  publicznych  i   wymiany  informacji   w postaci elektronicznej oraz minimalnych wymagań dla systemów</w:t>
      </w:r>
      <w:r>
        <w:rPr>
          <w:spacing w:val="-12"/>
        </w:rPr>
        <w:t xml:space="preserve"> </w:t>
      </w:r>
      <w:r>
        <w:t>teleinformatycznych.</w:t>
      </w:r>
    </w:p>
    <w:p w:rsidR="008C2381" w:rsidRDefault="008C2381" w:rsidP="008C2381">
      <w:pPr>
        <w:pStyle w:val="Akapitzlist"/>
        <w:widowControl w:val="0"/>
        <w:numPr>
          <w:ilvl w:val="1"/>
          <w:numId w:val="17"/>
        </w:numPr>
        <w:tabs>
          <w:tab w:val="left" w:pos="819"/>
        </w:tabs>
        <w:autoSpaceDE w:val="0"/>
        <w:autoSpaceDN w:val="0"/>
        <w:spacing w:before="57"/>
        <w:contextualSpacing w:val="0"/>
        <w:jc w:val="both"/>
        <w:rPr>
          <w:sz w:val="20"/>
        </w:rPr>
      </w:pPr>
      <w:r>
        <w:rPr>
          <w:sz w:val="20"/>
        </w:rPr>
        <w:t>Pozwala zapisywać dokumenty w formacie</w:t>
      </w:r>
      <w:r>
        <w:rPr>
          <w:spacing w:val="-9"/>
          <w:sz w:val="20"/>
        </w:rPr>
        <w:t xml:space="preserve"> </w:t>
      </w:r>
      <w:r>
        <w:rPr>
          <w:sz w:val="20"/>
        </w:rPr>
        <w:t>XML.</w:t>
      </w:r>
    </w:p>
    <w:p w:rsidR="008C2381" w:rsidRDefault="008C2381" w:rsidP="008C2381">
      <w:pPr>
        <w:pStyle w:val="Akapitzlist"/>
        <w:widowControl w:val="0"/>
        <w:numPr>
          <w:ilvl w:val="0"/>
          <w:numId w:val="17"/>
        </w:numPr>
        <w:tabs>
          <w:tab w:val="left" w:pos="541"/>
        </w:tabs>
        <w:autoSpaceDE w:val="0"/>
        <w:autoSpaceDN w:val="0"/>
        <w:spacing w:before="92" w:line="261" w:lineRule="auto"/>
        <w:ind w:right="172"/>
        <w:contextualSpacing w:val="0"/>
        <w:jc w:val="both"/>
        <w:rPr>
          <w:sz w:val="20"/>
        </w:rPr>
      </w:pPr>
      <w:r>
        <w:rPr>
          <w:sz w:val="20"/>
        </w:rPr>
        <w:t>Oprogramowanie musi umożliwiać dostosowanie dokumentów i szablonów do potrzeb Zamawiającego.</w:t>
      </w:r>
    </w:p>
    <w:p w:rsidR="008C2381" w:rsidRDefault="008C2381" w:rsidP="008C2381">
      <w:pPr>
        <w:pStyle w:val="Akapitzlist"/>
        <w:widowControl w:val="0"/>
        <w:numPr>
          <w:ilvl w:val="0"/>
          <w:numId w:val="17"/>
        </w:numPr>
        <w:tabs>
          <w:tab w:val="left" w:pos="541"/>
        </w:tabs>
        <w:autoSpaceDE w:val="0"/>
        <w:autoSpaceDN w:val="0"/>
        <w:spacing w:before="70" w:line="264" w:lineRule="auto"/>
        <w:ind w:right="164"/>
        <w:contextualSpacing w:val="0"/>
        <w:jc w:val="both"/>
        <w:rPr>
          <w:sz w:val="20"/>
        </w:rPr>
      </w:pPr>
      <w:r>
        <w:rPr>
          <w:sz w:val="20"/>
        </w:rPr>
        <w:t>W skład oprogramowania muszą wchodzić narzędzia programistyczne umożliwiające automatyzację pracy i wymianę danych pomiędzy dokumentami i aplikacjami (język makropoleceń, język skryptowy).</w:t>
      </w:r>
    </w:p>
    <w:p w:rsidR="008C2381" w:rsidRDefault="008C2381" w:rsidP="008C2381">
      <w:pPr>
        <w:pStyle w:val="Akapitzlist"/>
        <w:widowControl w:val="0"/>
        <w:numPr>
          <w:ilvl w:val="0"/>
          <w:numId w:val="17"/>
        </w:numPr>
        <w:tabs>
          <w:tab w:val="left" w:pos="541"/>
        </w:tabs>
        <w:autoSpaceDE w:val="0"/>
        <w:autoSpaceDN w:val="0"/>
        <w:spacing w:before="62"/>
        <w:contextualSpacing w:val="0"/>
        <w:jc w:val="both"/>
        <w:rPr>
          <w:sz w:val="20"/>
        </w:rPr>
      </w:pPr>
      <w:r>
        <w:rPr>
          <w:sz w:val="20"/>
        </w:rPr>
        <w:t>Do aplikacji pakietu musi być dostępna pełna dokumentacja w języku</w:t>
      </w:r>
      <w:r>
        <w:rPr>
          <w:spacing w:val="-12"/>
          <w:sz w:val="20"/>
        </w:rPr>
        <w:t xml:space="preserve"> </w:t>
      </w:r>
      <w:r>
        <w:rPr>
          <w:sz w:val="20"/>
        </w:rPr>
        <w:t>polskim.</w:t>
      </w:r>
    </w:p>
    <w:p w:rsidR="008C2381" w:rsidRDefault="008C2381" w:rsidP="008C2381">
      <w:pPr>
        <w:pStyle w:val="Akapitzlist"/>
        <w:widowControl w:val="0"/>
        <w:numPr>
          <w:ilvl w:val="0"/>
          <w:numId w:val="17"/>
        </w:numPr>
        <w:tabs>
          <w:tab w:val="left" w:pos="541"/>
        </w:tabs>
        <w:autoSpaceDE w:val="0"/>
        <w:autoSpaceDN w:val="0"/>
        <w:spacing w:before="82"/>
        <w:contextualSpacing w:val="0"/>
        <w:jc w:val="both"/>
        <w:rPr>
          <w:sz w:val="20"/>
        </w:rPr>
      </w:pPr>
      <w:r>
        <w:rPr>
          <w:sz w:val="20"/>
        </w:rPr>
        <w:t>Pakiet zintegrowanych aplikacji biurowych musi</w:t>
      </w:r>
      <w:r>
        <w:rPr>
          <w:spacing w:val="-4"/>
          <w:sz w:val="20"/>
        </w:rPr>
        <w:t xml:space="preserve"> </w:t>
      </w:r>
      <w:r>
        <w:rPr>
          <w:sz w:val="20"/>
        </w:rPr>
        <w:t>zawierać:</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Edytor tekstów.</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Arkusz kalkulacyjny.</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Narzędzie do przygotowywania i prowadzenia</w:t>
      </w:r>
      <w:r>
        <w:rPr>
          <w:spacing w:val="3"/>
          <w:sz w:val="20"/>
        </w:rPr>
        <w:t xml:space="preserve"> </w:t>
      </w:r>
      <w:r>
        <w:rPr>
          <w:sz w:val="20"/>
        </w:rPr>
        <w:t>prezentacji.</w:t>
      </w:r>
    </w:p>
    <w:p w:rsidR="008C2381" w:rsidRDefault="008C2381" w:rsidP="008C2381">
      <w:pPr>
        <w:pStyle w:val="Akapitzlist"/>
        <w:widowControl w:val="0"/>
        <w:numPr>
          <w:ilvl w:val="1"/>
          <w:numId w:val="17"/>
        </w:numPr>
        <w:tabs>
          <w:tab w:val="left" w:pos="819"/>
        </w:tabs>
        <w:autoSpaceDE w:val="0"/>
        <w:autoSpaceDN w:val="0"/>
        <w:spacing w:before="92" w:line="261" w:lineRule="auto"/>
        <w:ind w:left="823" w:right="172" w:hanging="284"/>
        <w:contextualSpacing w:val="0"/>
        <w:rPr>
          <w:sz w:val="20"/>
        </w:rPr>
      </w:pPr>
      <w:r>
        <w:rPr>
          <w:sz w:val="20"/>
        </w:rPr>
        <w:t>Narzędzie do zarządzania informacją prywatą (pocztą elektroniczną,  kalendarzem,  kontaktami    i</w:t>
      </w:r>
      <w:r>
        <w:rPr>
          <w:spacing w:val="3"/>
          <w:sz w:val="20"/>
        </w:rPr>
        <w:t xml:space="preserve"> </w:t>
      </w:r>
      <w:r>
        <w:rPr>
          <w:sz w:val="20"/>
        </w:rPr>
        <w:t>zadaniami).</w:t>
      </w:r>
    </w:p>
    <w:p w:rsidR="008C2381" w:rsidRDefault="008C2381" w:rsidP="008C2381">
      <w:pPr>
        <w:pStyle w:val="Akapitzlist"/>
        <w:widowControl w:val="0"/>
        <w:numPr>
          <w:ilvl w:val="0"/>
          <w:numId w:val="17"/>
        </w:numPr>
        <w:tabs>
          <w:tab w:val="left" w:pos="541"/>
        </w:tabs>
        <w:autoSpaceDE w:val="0"/>
        <w:autoSpaceDN w:val="0"/>
        <w:spacing w:before="60"/>
        <w:contextualSpacing w:val="0"/>
        <w:rPr>
          <w:sz w:val="20"/>
        </w:rPr>
      </w:pPr>
      <w:r>
        <w:rPr>
          <w:sz w:val="20"/>
        </w:rPr>
        <w:t>Edytor tekstów musi</w:t>
      </w:r>
      <w:r>
        <w:rPr>
          <w:spacing w:val="-6"/>
          <w:sz w:val="20"/>
        </w:rPr>
        <w:t xml:space="preserve"> </w:t>
      </w:r>
      <w:r>
        <w:rPr>
          <w:sz w:val="20"/>
        </w:rPr>
        <w:t>umożliwiać:</w:t>
      </w:r>
    </w:p>
    <w:p w:rsidR="008C2381" w:rsidRDefault="008C2381" w:rsidP="008C2381">
      <w:pPr>
        <w:pStyle w:val="Akapitzlist"/>
        <w:widowControl w:val="0"/>
        <w:numPr>
          <w:ilvl w:val="1"/>
          <w:numId w:val="17"/>
        </w:numPr>
        <w:tabs>
          <w:tab w:val="left" w:pos="819"/>
        </w:tabs>
        <w:autoSpaceDE w:val="0"/>
        <w:autoSpaceDN w:val="0"/>
        <w:spacing w:before="92" w:line="264" w:lineRule="auto"/>
        <w:ind w:left="823" w:right="166" w:hanging="284"/>
        <w:contextualSpacing w:val="0"/>
        <w:jc w:val="both"/>
        <w:rPr>
          <w:sz w:val="20"/>
        </w:rPr>
      </w:pPr>
      <w:r>
        <w:rPr>
          <w:sz w:val="20"/>
        </w:rPr>
        <w:t xml:space="preserve">Edycję i formatowanie tekstu w języku polskim </w:t>
      </w:r>
      <w:r>
        <w:rPr>
          <w:spacing w:val="-3"/>
          <w:sz w:val="20"/>
        </w:rPr>
        <w:t xml:space="preserve">wraz </w:t>
      </w:r>
      <w:r>
        <w:rPr>
          <w:sz w:val="20"/>
        </w:rPr>
        <w:t xml:space="preserve">z </w:t>
      </w:r>
      <w:r>
        <w:rPr>
          <w:spacing w:val="-3"/>
          <w:sz w:val="20"/>
        </w:rPr>
        <w:t xml:space="preserve">obsługą </w:t>
      </w:r>
      <w:r>
        <w:rPr>
          <w:sz w:val="20"/>
        </w:rPr>
        <w:t>języka polskiego w zakresie sprawdzania pisowni i poprawności gramatycznej oraz funkcjonalnością słownika wyrazów bliskoznacznych i</w:t>
      </w:r>
      <w:r>
        <w:rPr>
          <w:spacing w:val="-2"/>
          <w:sz w:val="20"/>
        </w:rPr>
        <w:t xml:space="preserve"> </w:t>
      </w:r>
      <w:r>
        <w:rPr>
          <w:sz w:val="20"/>
        </w:rPr>
        <w:t>autokorekty.</w:t>
      </w:r>
    </w:p>
    <w:p w:rsidR="008C2381" w:rsidRDefault="008C2381" w:rsidP="008C2381">
      <w:pPr>
        <w:pStyle w:val="Akapitzlist"/>
        <w:widowControl w:val="0"/>
        <w:numPr>
          <w:ilvl w:val="1"/>
          <w:numId w:val="17"/>
        </w:numPr>
        <w:tabs>
          <w:tab w:val="left" w:pos="819"/>
        </w:tabs>
        <w:autoSpaceDE w:val="0"/>
        <w:autoSpaceDN w:val="0"/>
        <w:spacing w:before="62"/>
        <w:contextualSpacing w:val="0"/>
        <w:rPr>
          <w:sz w:val="20"/>
        </w:rPr>
      </w:pPr>
      <w:r>
        <w:rPr>
          <w:sz w:val="20"/>
        </w:rPr>
        <w:t>Wstawianie oraz formatowanie</w:t>
      </w:r>
      <w:r>
        <w:rPr>
          <w:spacing w:val="-8"/>
          <w:sz w:val="20"/>
        </w:rPr>
        <w:t xml:space="preserve"> </w:t>
      </w:r>
      <w:r>
        <w:rPr>
          <w:sz w:val="20"/>
        </w:rPr>
        <w:t>tabel.</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Wstawianie oraz formatowanie obiektów</w:t>
      </w:r>
      <w:r>
        <w:rPr>
          <w:spacing w:val="-13"/>
          <w:sz w:val="20"/>
        </w:rPr>
        <w:t xml:space="preserve"> </w:t>
      </w:r>
      <w:r>
        <w:rPr>
          <w:sz w:val="20"/>
        </w:rPr>
        <w:t>graficznych.</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Wstawianie wykresów i tabel z arkusza kalkulacyjnego (wliczając tabele</w:t>
      </w:r>
      <w:r>
        <w:rPr>
          <w:spacing w:val="-14"/>
          <w:sz w:val="20"/>
        </w:rPr>
        <w:t xml:space="preserve"> </w:t>
      </w:r>
      <w:r>
        <w:rPr>
          <w:sz w:val="20"/>
        </w:rPr>
        <w:t>przestawne).</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Automatyczne numerowanie rozdziałów, punktów, akapitów, tabel i</w:t>
      </w:r>
      <w:r>
        <w:rPr>
          <w:spacing w:val="4"/>
          <w:sz w:val="20"/>
        </w:rPr>
        <w:t xml:space="preserve"> </w:t>
      </w:r>
      <w:r>
        <w:rPr>
          <w:sz w:val="20"/>
        </w:rPr>
        <w:t>rysunków.</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Automatyczne tworzenie spisów</w:t>
      </w:r>
      <w:r>
        <w:rPr>
          <w:spacing w:val="-10"/>
          <w:sz w:val="20"/>
        </w:rPr>
        <w:t xml:space="preserve"> </w:t>
      </w:r>
      <w:r>
        <w:rPr>
          <w:sz w:val="20"/>
        </w:rPr>
        <w:t>treści.</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Formatowanie nagłówków i stopek</w:t>
      </w:r>
      <w:r>
        <w:rPr>
          <w:spacing w:val="-1"/>
          <w:sz w:val="20"/>
        </w:rPr>
        <w:t xml:space="preserve"> </w:t>
      </w:r>
      <w:r>
        <w:rPr>
          <w:sz w:val="20"/>
        </w:rPr>
        <w:t>stron.</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Śledzenie i porównywanie zmian wprowadzonych przez użytkowników w</w:t>
      </w:r>
      <w:r>
        <w:rPr>
          <w:spacing w:val="-15"/>
          <w:sz w:val="20"/>
        </w:rPr>
        <w:t xml:space="preserve"> </w:t>
      </w:r>
      <w:r>
        <w:rPr>
          <w:sz w:val="20"/>
        </w:rPr>
        <w:t>dokumencie.</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lastRenderedPageBreak/>
        <w:t>Nagrywanie, tworzenie i edycję makr automatyzujących wykonywanie</w:t>
      </w:r>
      <w:r>
        <w:rPr>
          <w:spacing w:val="-8"/>
          <w:sz w:val="20"/>
        </w:rPr>
        <w:t xml:space="preserve"> </w:t>
      </w:r>
      <w:r>
        <w:rPr>
          <w:sz w:val="20"/>
        </w:rPr>
        <w:t>czynności.</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Określenie układu strony (pionowa/pozioma), niezależnie dla każdej sekcji</w:t>
      </w:r>
      <w:r>
        <w:rPr>
          <w:spacing w:val="-4"/>
          <w:sz w:val="20"/>
        </w:rPr>
        <w:t xml:space="preserve"> </w:t>
      </w:r>
      <w:r>
        <w:rPr>
          <w:sz w:val="20"/>
        </w:rPr>
        <w:t>dokumentu.</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Wydruk dokumentów.</w:t>
      </w:r>
    </w:p>
    <w:p w:rsidR="008C2381" w:rsidRDefault="008C2381" w:rsidP="008C2381">
      <w:pPr>
        <w:pStyle w:val="Akapitzlist"/>
        <w:widowControl w:val="0"/>
        <w:numPr>
          <w:ilvl w:val="1"/>
          <w:numId w:val="17"/>
        </w:numPr>
        <w:tabs>
          <w:tab w:val="left" w:pos="819"/>
        </w:tabs>
        <w:autoSpaceDE w:val="0"/>
        <w:autoSpaceDN w:val="0"/>
        <w:spacing w:before="92" w:line="261" w:lineRule="auto"/>
        <w:ind w:left="823" w:right="173" w:hanging="284"/>
        <w:contextualSpacing w:val="0"/>
        <w:jc w:val="both"/>
        <w:rPr>
          <w:sz w:val="20"/>
        </w:rPr>
      </w:pPr>
      <w:r>
        <w:rPr>
          <w:sz w:val="20"/>
        </w:rPr>
        <w:t>Wykonywanie korespondencji seryjnej bazując na danych adresowych pochodzących z arkusza kalkulacyjnego i z narzędzia do zarządzania informacją</w:t>
      </w:r>
      <w:r>
        <w:rPr>
          <w:spacing w:val="-15"/>
          <w:sz w:val="20"/>
        </w:rPr>
        <w:t xml:space="preserve"> </w:t>
      </w:r>
      <w:r>
        <w:rPr>
          <w:sz w:val="20"/>
        </w:rPr>
        <w:t>prywatną.</w:t>
      </w:r>
    </w:p>
    <w:p w:rsidR="008C2381" w:rsidRDefault="008C2381" w:rsidP="008C2381">
      <w:pPr>
        <w:pStyle w:val="Akapitzlist"/>
        <w:widowControl w:val="0"/>
        <w:numPr>
          <w:ilvl w:val="1"/>
          <w:numId w:val="17"/>
        </w:numPr>
        <w:tabs>
          <w:tab w:val="left" w:pos="819"/>
        </w:tabs>
        <w:autoSpaceDE w:val="0"/>
        <w:autoSpaceDN w:val="0"/>
        <w:spacing w:before="65" w:line="266" w:lineRule="auto"/>
        <w:ind w:left="823" w:right="169" w:hanging="284"/>
        <w:contextualSpacing w:val="0"/>
        <w:jc w:val="both"/>
        <w:rPr>
          <w:sz w:val="20"/>
        </w:rPr>
      </w:pPr>
      <w:r>
        <w:rPr>
          <w:sz w:val="20"/>
        </w:rPr>
        <w:t>Pracę na dokumentach utworzonych przy pomocy Microsoft Word 2007 lub Microsoft Word 2010, 2013, 2016 i 2019 z zapewnieniem bezproblemowej konwersji wszystkich elementów i atrybutów dokumentu.</w:t>
      </w:r>
    </w:p>
    <w:p w:rsidR="008C2381" w:rsidRDefault="008C2381" w:rsidP="008C2381">
      <w:pPr>
        <w:pStyle w:val="Akapitzlist"/>
        <w:widowControl w:val="0"/>
        <w:numPr>
          <w:ilvl w:val="1"/>
          <w:numId w:val="17"/>
        </w:numPr>
        <w:tabs>
          <w:tab w:val="left" w:pos="819"/>
        </w:tabs>
        <w:autoSpaceDE w:val="0"/>
        <w:autoSpaceDN w:val="0"/>
        <w:spacing w:before="55"/>
        <w:contextualSpacing w:val="0"/>
        <w:jc w:val="both"/>
        <w:rPr>
          <w:sz w:val="20"/>
        </w:rPr>
      </w:pPr>
      <w:r>
        <w:rPr>
          <w:sz w:val="20"/>
        </w:rPr>
        <w:t>Zabezpieczenie dokumentów hasłem przed odczytem oraz przed wprowadzaniem</w:t>
      </w:r>
      <w:r>
        <w:rPr>
          <w:spacing w:val="-10"/>
          <w:sz w:val="20"/>
        </w:rPr>
        <w:t xml:space="preserve"> </w:t>
      </w:r>
      <w:r>
        <w:rPr>
          <w:sz w:val="20"/>
        </w:rPr>
        <w:t>modyfikacji.</w:t>
      </w:r>
    </w:p>
    <w:p w:rsidR="008C2381" w:rsidRDefault="008C2381" w:rsidP="008C2381">
      <w:pPr>
        <w:pStyle w:val="Akapitzlist"/>
        <w:widowControl w:val="0"/>
        <w:numPr>
          <w:ilvl w:val="1"/>
          <w:numId w:val="17"/>
        </w:numPr>
        <w:tabs>
          <w:tab w:val="left" w:pos="819"/>
        </w:tabs>
        <w:autoSpaceDE w:val="0"/>
        <w:autoSpaceDN w:val="0"/>
        <w:spacing w:before="92" w:line="264" w:lineRule="auto"/>
        <w:ind w:left="823" w:right="178" w:hanging="284"/>
        <w:contextualSpacing w:val="0"/>
        <w:jc w:val="both"/>
        <w:rPr>
          <w:sz w:val="20"/>
        </w:rPr>
      </w:pPr>
      <w:r>
        <w:rPr>
          <w:sz w:val="20"/>
        </w:rPr>
        <w:t>Wymagana jest dostępność do oferowanego edytora tekstu bezpłatnych narzędzi umożliwiających wykorzystanie go, jako środowiska kreowania aktów normatywnych i prawnych, zgodnie z obowiązującym</w:t>
      </w:r>
      <w:r>
        <w:rPr>
          <w:spacing w:val="1"/>
          <w:sz w:val="20"/>
        </w:rPr>
        <w:t xml:space="preserve"> </w:t>
      </w:r>
      <w:r>
        <w:rPr>
          <w:sz w:val="20"/>
        </w:rPr>
        <w:t>prawem.</w:t>
      </w:r>
    </w:p>
    <w:p w:rsidR="008C2381" w:rsidRPr="00873360" w:rsidRDefault="008C2381" w:rsidP="008C2381">
      <w:pPr>
        <w:pStyle w:val="Akapitzlist"/>
        <w:widowControl w:val="0"/>
        <w:numPr>
          <w:ilvl w:val="1"/>
          <w:numId w:val="17"/>
        </w:numPr>
        <w:tabs>
          <w:tab w:val="left" w:pos="819"/>
        </w:tabs>
        <w:autoSpaceDE w:val="0"/>
        <w:autoSpaceDN w:val="0"/>
        <w:spacing w:before="66" w:line="264" w:lineRule="auto"/>
        <w:ind w:left="823" w:right="174" w:hanging="284"/>
        <w:contextualSpacing w:val="0"/>
        <w:jc w:val="both"/>
        <w:rPr>
          <w:sz w:val="20"/>
        </w:rPr>
      </w:pPr>
      <w:r>
        <w:rPr>
          <w:sz w:val="20"/>
        </w:rPr>
        <w:t>Wymagana jest dostępność mechanizmów umożliwiających podpisanie podpisem elektronicznym pliku z zapisanym dokumentem przy pomocy certyfikatu kwalifikowanego zgodnie z wymaganiami obowiązującego w Polsce</w:t>
      </w:r>
      <w:r>
        <w:rPr>
          <w:spacing w:val="-5"/>
          <w:sz w:val="20"/>
        </w:rPr>
        <w:t xml:space="preserve"> </w:t>
      </w:r>
      <w:r>
        <w:rPr>
          <w:spacing w:val="-3"/>
          <w:sz w:val="20"/>
        </w:rPr>
        <w:t>prawa.</w:t>
      </w:r>
    </w:p>
    <w:p w:rsidR="008C2381" w:rsidRDefault="008C2381" w:rsidP="008C2381">
      <w:pPr>
        <w:pStyle w:val="Akapitzlist"/>
        <w:widowControl w:val="0"/>
        <w:numPr>
          <w:ilvl w:val="0"/>
          <w:numId w:val="17"/>
        </w:numPr>
        <w:tabs>
          <w:tab w:val="left" w:pos="541"/>
        </w:tabs>
        <w:autoSpaceDE w:val="0"/>
        <w:autoSpaceDN w:val="0"/>
        <w:spacing w:before="95"/>
        <w:contextualSpacing w:val="0"/>
        <w:jc w:val="both"/>
        <w:rPr>
          <w:sz w:val="20"/>
        </w:rPr>
      </w:pPr>
      <w:r>
        <w:rPr>
          <w:sz w:val="20"/>
        </w:rPr>
        <w:t>Arkusz kalkulacyjny musi</w:t>
      </w:r>
      <w:r>
        <w:rPr>
          <w:spacing w:val="1"/>
          <w:sz w:val="20"/>
        </w:rPr>
        <w:t xml:space="preserve"> </w:t>
      </w:r>
      <w:r>
        <w:rPr>
          <w:sz w:val="20"/>
        </w:rPr>
        <w:t>umożliwiać:</w:t>
      </w:r>
    </w:p>
    <w:p w:rsidR="008C2381" w:rsidRDefault="008C2381" w:rsidP="008C2381">
      <w:pPr>
        <w:pStyle w:val="Akapitzlist"/>
        <w:widowControl w:val="0"/>
        <w:numPr>
          <w:ilvl w:val="1"/>
          <w:numId w:val="17"/>
        </w:numPr>
        <w:tabs>
          <w:tab w:val="left" w:pos="819"/>
        </w:tabs>
        <w:autoSpaceDE w:val="0"/>
        <w:autoSpaceDN w:val="0"/>
        <w:spacing w:before="87"/>
        <w:contextualSpacing w:val="0"/>
        <w:jc w:val="both"/>
        <w:rPr>
          <w:sz w:val="20"/>
        </w:rPr>
      </w:pPr>
      <w:r>
        <w:rPr>
          <w:sz w:val="20"/>
        </w:rPr>
        <w:t>Tworzenie raportów</w:t>
      </w:r>
      <w:r>
        <w:rPr>
          <w:spacing w:val="-5"/>
          <w:sz w:val="20"/>
        </w:rPr>
        <w:t xml:space="preserve"> </w:t>
      </w:r>
      <w:r>
        <w:rPr>
          <w:sz w:val="20"/>
        </w:rPr>
        <w:t>tabelarycznych.</w:t>
      </w:r>
    </w:p>
    <w:p w:rsidR="008C2381" w:rsidRDefault="008C2381" w:rsidP="008C2381">
      <w:pPr>
        <w:pStyle w:val="Akapitzlist"/>
        <w:widowControl w:val="0"/>
        <w:numPr>
          <w:ilvl w:val="1"/>
          <w:numId w:val="17"/>
        </w:numPr>
        <w:tabs>
          <w:tab w:val="left" w:pos="819"/>
        </w:tabs>
        <w:autoSpaceDE w:val="0"/>
        <w:autoSpaceDN w:val="0"/>
        <w:spacing w:before="82"/>
        <w:contextualSpacing w:val="0"/>
        <w:jc w:val="both"/>
        <w:rPr>
          <w:sz w:val="20"/>
        </w:rPr>
      </w:pPr>
      <w:r>
        <w:rPr>
          <w:sz w:val="20"/>
        </w:rPr>
        <w:t>Tworzenie wykresów liniowych (wraz linią trendu), słupkowych,</w:t>
      </w:r>
      <w:r>
        <w:rPr>
          <w:spacing w:val="-6"/>
          <w:sz w:val="20"/>
        </w:rPr>
        <w:t xml:space="preserve"> </w:t>
      </w:r>
      <w:r>
        <w:rPr>
          <w:sz w:val="20"/>
        </w:rPr>
        <w:t>kołowych.</w:t>
      </w:r>
    </w:p>
    <w:p w:rsidR="008C2381" w:rsidRDefault="008C2381" w:rsidP="008C2381">
      <w:pPr>
        <w:pStyle w:val="Akapitzlist"/>
        <w:widowControl w:val="0"/>
        <w:numPr>
          <w:ilvl w:val="1"/>
          <w:numId w:val="17"/>
        </w:numPr>
        <w:tabs>
          <w:tab w:val="left" w:pos="819"/>
        </w:tabs>
        <w:autoSpaceDE w:val="0"/>
        <w:autoSpaceDN w:val="0"/>
        <w:spacing w:before="92" w:line="264" w:lineRule="auto"/>
        <w:ind w:left="823" w:right="165" w:hanging="284"/>
        <w:contextualSpacing w:val="0"/>
        <w:jc w:val="both"/>
        <w:rPr>
          <w:sz w:val="20"/>
        </w:rPr>
      </w:pPr>
      <w:r>
        <w:rPr>
          <w:sz w:val="20"/>
        </w:rPr>
        <w:t>Tworzenie arkuszy kalkulacyjnych zawierających teksty, dane liczbowe oraz formuły przeprowadzające operacje matematyczne, logiczne, tekstowe, statystyczne oraz operacje na danych finansowych i na miarach</w:t>
      </w:r>
      <w:r>
        <w:rPr>
          <w:spacing w:val="-7"/>
          <w:sz w:val="20"/>
        </w:rPr>
        <w:t xml:space="preserve"> </w:t>
      </w:r>
      <w:r>
        <w:rPr>
          <w:sz w:val="20"/>
        </w:rPr>
        <w:t>czasu.</w:t>
      </w:r>
    </w:p>
    <w:p w:rsidR="008C2381" w:rsidRDefault="008C2381" w:rsidP="008C2381">
      <w:pPr>
        <w:pStyle w:val="Akapitzlist"/>
        <w:widowControl w:val="0"/>
        <w:numPr>
          <w:ilvl w:val="1"/>
          <w:numId w:val="17"/>
        </w:numPr>
        <w:tabs>
          <w:tab w:val="left" w:pos="819"/>
        </w:tabs>
        <w:autoSpaceDE w:val="0"/>
        <w:autoSpaceDN w:val="0"/>
        <w:spacing w:before="67" w:line="261" w:lineRule="auto"/>
        <w:ind w:left="823" w:right="174" w:hanging="284"/>
        <w:contextualSpacing w:val="0"/>
        <w:jc w:val="both"/>
        <w:rPr>
          <w:sz w:val="20"/>
        </w:rPr>
      </w:pPr>
      <w:r>
        <w:rPr>
          <w:sz w:val="20"/>
        </w:rPr>
        <w:t>Tworzenie raportów z zewnętrznych źródeł danych (inne arkusze kalkulacyjne, bazy danych zgodne z ODBC, pliki tekstowe, pliki</w:t>
      </w:r>
      <w:r>
        <w:rPr>
          <w:spacing w:val="2"/>
          <w:sz w:val="20"/>
        </w:rPr>
        <w:t xml:space="preserve"> </w:t>
      </w:r>
      <w:r>
        <w:rPr>
          <w:sz w:val="20"/>
        </w:rPr>
        <w:t>XML).</w:t>
      </w:r>
    </w:p>
    <w:p w:rsidR="008C2381" w:rsidRDefault="008C2381" w:rsidP="008C2381">
      <w:pPr>
        <w:pStyle w:val="Akapitzlist"/>
        <w:widowControl w:val="0"/>
        <w:numPr>
          <w:ilvl w:val="1"/>
          <w:numId w:val="17"/>
        </w:numPr>
        <w:tabs>
          <w:tab w:val="left" w:pos="819"/>
        </w:tabs>
        <w:autoSpaceDE w:val="0"/>
        <w:autoSpaceDN w:val="0"/>
        <w:spacing w:before="65" w:line="266" w:lineRule="auto"/>
        <w:ind w:left="823" w:right="170" w:hanging="284"/>
        <w:contextualSpacing w:val="0"/>
        <w:jc w:val="both"/>
        <w:rPr>
          <w:sz w:val="20"/>
        </w:rPr>
      </w:pPr>
      <w:r>
        <w:rPr>
          <w:sz w:val="20"/>
        </w:rPr>
        <w:t>Obsługę kostek OLAP oraz tworzenie i edycję kwerend bazodanowych i webowych. Narzędzia wspomagające analizę statystyczną i finansową, analizę wariantową i rozwiązywanie problemów optymalizacyjnych.</w:t>
      </w:r>
    </w:p>
    <w:p w:rsidR="008C2381" w:rsidRDefault="008C2381" w:rsidP="008C2381">
      <w:pPr>
        <w:pStyle w:val="Akapitzlist"/>
        <w:widowControl w:val="0"/>
        <w:numPr>
          <w:ilvl w:val="1"/>
          <w:numId w:val="17"/>
        </w:numPr>
        <w:tabs>
          <w:tab w:val="left" w:pos="819"/>
        </w:tabs>
        <w:autoSpaceDE w:val="0"/>
        <w:autoSpaceDN w:val="0"/>
        <w:spacing w:before="60" w:line="261" w:lineRule="auto"/>
        <w:ind w:left="823" w:right="176" w:hanging="284"/>
        <w:contextualSpacing w:val="0"/>
        <w:jc w:val="both"/>
        <w:rPr>
          <w:sz w:val="20"/>
        </w:rPr>
      </w:pPr>
      <w:r>
        <w:rPr>
          <w:sz w:val="20"/>
        </w:rPr>
        <w:t>Tworzenie raportów tabeli przestawnych umożliwiających dynamiczną zmianę wymiarów oraz wykresów bazujących na danych z tabeli</w:t>
      </w:r>
      <w:r>
        <w:rPr>
          <w:spacing w:val="-4"/>
          <w:sz w:val="20"/>
        </w:rPr>
        <w:t xml:space="preserve"> </w:t>
      </w:r>
      <w:r>
        <w:rPr>
          <w:sz w:val="20"/>
        </w:rPr>
        <w:t>przestawnych.</w:t>
      </w:r>
    </w:p>
    <w:p w:rsidR="008C2381" w:rsidRDefault="008C2381" w:rsidP="008C2381">
      <w:pPr>
        <w:pStyle w:val="Akapitzlist"/>
        <w:widowControl w:val="0"/>
        <w:numPr>
          <w:ilvl w:val="1"/>
          <w:numId w:val="17"/>
        </w:numPr>
        <w:tabs>
          <w:tab w:val="left" w:pos="819"/>
        </w:tabs>
        <w:autoSpaceDE w:val="0"/>
        <w:autoSpaceDN w:val="0"/>
        <w:spacing w:before="65"/>
        <w:contextualSpacing w:val="0"/>
        <w:rPr>
          <w:sz w:val="20"/>
        </w:rPr>
      </w:pPr>
      <w:r>
        <w:rPr>
          <w:sz w:val="20"/>
        </w:rPr>
        <w:t>Wyszukiwanie i zamianę</w:t>
      </w:r>
      <w:r>
        <w:rPr>
          <w:spacing w:val="-1"/>
          <w:sz w:val="20"/>
        </w:rPr>
        <w:t xml:space="preserve"> </w:t>
      </w:r>
      <w:r>
        <w:rPr>
          <w:sz w:val="20"/>
        </w:rPr>
        <w:t>danych.</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Wykonywanie analiz danych przy użyciu formatowania</w:t>
      </w:r>
      <w:r>
        <w:rPr>
          <w:spacing w:val="-9"/>
          <w:sz w:val="20"/>
        </w:rPr>
        <w:t xml:space="preserve"> </w:t>
      </w:r>
      <w:r>
        <w:rPr>
          <w:sz w:val="20"/>
        </w:rPr>
        <w:t>warunkowego.</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Nazywanie komórek arkusza i odwoływanie się w formułach po takiej</w:t>
      </w:r>
      <w:r>
        <w:rPr>
          <w:spacing w:val="-4"/>
          <w:sz w:val="20"/>
        </w:rPr>
        <w:t xml:space="preserve"> </w:t>
      </w:r>
      <w:r>
        <w:rPr>
          <w:sz w:val="20"/>
        </w:rPr>
        <w:t>nazwie.</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Nagrywanie, tworzenie i edycję makr automatyzujących wykonywanie</w:t>
      </w:r>
      <w:r>
        <w:rPr>
          <w:spacing w:val="-6"/>
          <w:sz w:val="20"/>
        </w:rPr>
        <w:t xml:space="preserve"> </w:t>
      </w:r>
      <w:r>
        <w:rPr>
          <w:sz w:val="20"/>
        </w:rPr>
        <w:t>czynności.</w:t>
      </w:r>
    </w:p>
    <w:p w:rsidR="008C2381" w:rsidRDefault="008C2381" w:rsidP="008C2381">
      <w:pPr>
        <w:pStyle w:val="Akapitzlist"/>
        <w:widowControl w:val="0"/>
        <w:numPr>
          <w:ilvl w:val="1"/>
          <w:numId w:val="17"/>
        </w:numPr>
        <w:tabs>
          <w:tab w:val="left" w:pos="819"/>
        </w:tabs>
        <w:autoSpaceDE w:val="0"/>
        <w:autoSpaceDN w:val="0"/>
        <w:spacing w:before="83"/>
        <w:contextualSpacing w:val="0"/>
        <w:rPr>
          <w:sz w:val="20"/>
        </w:rPr>
      </w:pPr>
      <w:r>
        <w:rPr>
          <w:sz w:val="20"/>
        </w:rPr>
        <w:t>Formatowanie czasu, daty i wartości finansowych z polskim formatem.</w:t>
      </w:r>
    </w:p>
    <w:p w:rsidR="008C2381" w:rsidRDefault="008C2381" w:rsidP="008C2381">
      <w:pPr>
        <w:pStyle w:val="Akapitzlist"/>
        <w:widowControl w:val="0"/>
        <w:numPr>
          <w:ilvl w:val="1"/>
          <w:numId w:val="17"/>
        </w:numPr>
        <w:tabs>
          <w:tab w:val="left" w:pos="819"/>
        </w:tabs>
        <w:autoSpaceDE w:val="0"/>
        <w:autoSpaceDN w:val="0"/>
        <w:spacing w:before="86"/>
        <w:contextualSpacing w:val="0"/>
        <w:rPr>
          <w:sz w:val="20"/>
        </w:rPr>
      </w:pPr>
      <w:r>
        <w:rPr>
          <w:sz w:val="20"/>
        </w:rPr>
        <w:t>Zapis wielu arkuszy kalkulacyjnych w jednym</w:t>
      </w:r>
      <w:r>
        <w:rPr>
          <w:spacing w:val="-2"/>
          <w:sz w:val="20"/>
        </w:rPr>
        <w:t xml:space="preserve"> </w:t>
      </w:r>
      <w:r>
        <w:rPr>
          <w:sz w:val="20"/>
        </w:rPr>
        <w:t>pliku.</w:t>
      </w:r>
    </w:p>
    <w:p w:rsidR="008C2381" w:rsidRDefault="008C2381" w:rsidP="008C2381">
      <w:pPr>
        <w:pStyle w:val="Akapitzlist"/>
        <w:widowControl w:val="0"/>
        <w:numPr>
          <w:ilvl w:val="1"/>
          <w:numId w:val="17"/>
        </w:numPr>
        <w:tabs>
          <w:tab w:val="left" w:pos="819"/>
        </w:tabs>
        <w:autoSpaceDE w:val="0"/>
        <w:autoSpaceDN w:val="0"/>
        <w:spacing w:before="92" w:line="264" w:lineRule="auto"/>
        <w:ind w:left="823" w:right="175" w:hanging="284"/>
        <w:contextualSpacing w:val="0"/>
        <w:jc w:val="both"/>
        <w:rPr>
          <w:sz w:val="20"/>
        </w:rPr>
      </w:pPr>
      <w:r>
        <w:rPr>
          <w:sz w:val="20"/>
        </w:rPr>
        <w:t xml:space="preserve">Zachowanie pełnej zgodności z formatami plików utworzonych za pomocą oprogramowania Microsoft Excel 2007 oraz Microsoft Excel 2010, 2013, 2016 i 2019, z uwzględnieniem </w:t>
      </w:r>
      <w:r>
        <w:rPr>
          <w:spacing w:val="-3"/>
          <w:sz w:val="20"/>
        </w:rPr>
        <w:t xml:space="preserve">poprawnej </w:t>
      </w:r>
      <w:r>
        <w:rPr>
          <w:sz w:val="20"/>
        </w:rPr>
        <w:t>realizacji użytych w nich funkcji specjalnych i</w:t>
      </w:r>
      <w:r>
        <w:rPr>
          <w:spacing w:val="-13"/>
          <w:sz w:val="20"/>
        </w:rPr>
        <w:t xml:space="preserve"> </w:t>
      </w:r>
      <w:r>
        <w:rPr>
          <w:sz w:val="20"/>
        </w:rPr>
        <w:t>makropoleceń.</w:t>
      </w:r>
    </w:p>
    <w:p w:rsidR="008C2381" w:rsidRDefault="008C2381" w:rsidP="008C2381">
      <w:pPr>
        <w:pStyle w:val="Akapitzlist"/>
        <w:widowControl w:val="0"/>
        <w:numPr>
          <w:ilvl w:val="1"/>
          <w:numId w:val="17"/>
        </w:numPr>
        <w:tabs>
          <w:tab w:val="left" w:pos="819"/>
        </w:tabs>
        <w:autoSpaceDE w:val="0"/>
        <w:autoSpaceDN w:val="0"/>
        <w:spacing w:before="57"/>
        <w:contextualSpacing w:val="0"/>
        <w:jc w:val="both"/>
        <w:rPr>
          <w:sz w:val="20"/>
        </w:rPr>
      </w:pPr>
      <w:r>
        <w:rPr>
          <w:sz w:val="20"/>
        </w:rPr>
        <w:t>Zabezpieczenie dokumentów hasłem przed odczytem oraz przed wprowadzaniem</w:t>
      </w:r>
      <w:r>
        <w:rPr>
          <w:spacing w:val="-10"/>
          <w:sz w:val="20"/>
        </w:rPr>
        <w:t xml:space="preserve"> </w:t>
      </w:r>
      <w:r>
        <w:rPr>
          <w:sz w:val="20"/>
        </w:rPr>
        <w:t>modyfikacji.</w:t>
      </w:r>
    </w:p>
    <w:p w:rsidR="008C2381" w:rsidRDefault="008C2381" w:rsidP="008C2381">
      <w:pPr>
        <w:pStyle w:val="Akapitzlist"/>
        <w:widowControl w:val="0"/>
        <w:numPr>
          <w:ilvl w:val="0"/>
          <w:numId w:val="17"/>
        </w:numPr>
        <w:tabs>
          <w:tab w:val="left" w:pos="680"/>
        </w:tabs>
        <w:autoSpaceDE w:val="0"/>
        <w:autoSpaceDN w:val="0"/>
        <w:spacing w:before="87"/>
        <w:ind w:left="679" w:hanging="423"/>
        <w:contextualSpacing w:val="0"/>
        <w:jc w:val="both"/>
        <w:rPr>
          <w:sz w:val="20"/>
        </w:rPr>
      </w:pPr>
      <w:r>
        <w:rPr>
          <w:sz w:val="20"/>
        </w:rPr>
        <w:t>Narzędzie do przygotowywania i prowadzenia prezentacji musi</w:t>
      </w:r>
      <w:r>
        <w:rPr>
          <w:spacing w:val="1"/>
          <w:sz w:val="20"/>
        </w:rPr>
        <w:t xml:space="preserve"> </w:t>
      </w:r>
      <w:r>
        <w:rPr>
          <w:sz w:val="20"/>
        </w:rPr>
        <w:t>umożliwiać:</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Przygotowywanie prezentacji multimedialnych, które</w:t>
      </w:r>
      <w:r>
        <w:rPr>
          <w:spacing w:val="-3"/>
          <w:sz w:val="20"/>
        </w:rPr>
        <w:t xml:space="preserve"> będą:</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Prezentowanie przy użyciu projektora</w:t>
      </w:r>
      <w:r>
        <w:rPr>
          <w:spacing w:val="-5"/>
          <w:sz w:val="20"/>
        </w:rPr>
        <w:t xml:space="preserve"> </w:t>
      </w:r>
      <w:r>
        <w:rPr>
          <w:sz w:val="20"/>
        </w:rPr>
        <w:t>multimedialnego.</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lastRenderedPageBreak/>
        <w:t>Drukowanie w formacie umożliwiającym robienie</w:t>
      </w:r>
      <w:r>
        <w:rPr>
          <w:spacing w:val="-5"/>
          <w:sz w:val="20"/>
        </w:rPr>
        <w:t xml:space="preserve"> </w:t>
      </w:r>
      <w:r>
        <w:rPr>
          <w:sz w:val="20"/>
        </w:rPr>
        <w:t>notatek.</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Zapisanie jako prezentacja tylko do</w:t>
      </w:r>
      <w:r>
        <w:rPr>
          <w:spacing w:val="-11"/>
          <w:sz w:val="20"/>
        </w:rPr>
        <w:t xml:space="preserve"> </w:t>
      </w:r>
      <w:r>
        <w:rPr>
          <w:sz w:val="20"/>
        </w:rPr>
        <w:t>odczytu.</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Nagrywanie narracji i dołączanie jej do</w:t>
      </w:r>
      <w:r>
        <w:rPr>
          <w:spacing w:val="-3"/>
          <w:sz w:val="20"/>
        </w:rPr>
        <w:t xml:space="preserve"> </w:t>
      </w:r>
      <w:r>
        <w:rPr>
          <w:sz w:val="20"/>
        </w:rPr>
        <w:t>prezentacji.</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Opatrywanie slajdów notatkami dla</w:t>
      </w:r>
      <w:r>
        <w:rPr>
          <w:spacing w:val="-10"/>
          <w:sz w:val="20"/>
        </w:rPr>
        <w:t xml:space="preserve"> </w:t>
      </w:r>
      <w:r>
        <w:rPr>
          <w:sz w:val="20"/>
        </w:rPr>
        <w:t>prezentera.</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Umieszczanie i formatowanie tekstów, obiektów graficznych, tabel, nagrań dźwiękowych i</w:t>
      </w:r>
      <w:r>
        <w:rPr>
          <w:spacing w:val="-13"/>
          <w:sz w:val="20"/>
        </w:rPr>
        <w:t xml:space="preserve"> </w:t>
      </w:r>
      <w:r>
        <w:rPr>
          <w:sz w:val="20"/>
        </w:rPr>
        <w:t>wideo.</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Umieszczanie tabel i wykresów pochodzących z arkusza</w:t>
      </w:r>
      <w:r>
        <w:rPr>
          <w:spacing w:val="-7"/>
          <w:sz w:val="20"/>
        </w:rPr>
        <w:t xml:space="preserve"> </w:t>
      </w:r>
      <w:r>
        <w:rPr>
          <w:sz w:val="20"/>
        </w:rPr>
        <w:t>kalkulacyjnego.</w:t>
      </w:r>
    </w:p>
    <w:p w:rsidR="008C2381" w:rsidRDefault="008C2381" w:rsidP="008C2381">
      <w:pPr>
        <w:pStyle w:val="Akapitzlist"/>
        <w:widowControl w:val="0"/>
        <w:numPr>
          <w:ilvl w:val="1"/>
          <w:numId w:val="17"/>
        </w:numPr>
        <w:tabs>
          <w:tab w:val="left" w:pos="819"/>
        </w:tabs>
        <w:autoSpaceDE w:val="0"/>
        <w:autoSpaceDN w:val="0"/>
        <w:spacing w:before="87" w:line="261" w:lineRule="auto"/>
        <w:ind w:left="823" w:right="175" w:hanging="284"/>
        <w:contextualSpacing w:val="0"/>
        <w:rPr>
          <w:sz w:val="20"/>
        </w:rPr>
      </w:pPr>
      <w:r>
        <w:rPr>
          <w:sz w:val="20"/>
        </w:rPr>
        <w:t>Odświeżenie wykresu znajdującego się w prezentacji po zmianie danych w źródłowym arkuszu kalkulacyjnym.</w:t>
      </w:r>
    </w:p>
    <w:p w:rsidR="008C2381" w:rsidRDefault="008C2381" w:rsidP="008C2381">
      <w:pPr>
        <w:pStyle w:val="Akapitzlist"/>
        <w:widowControl w:val="0"/>
        <w:numPr>
          <w:ilvl w:val="1"/>
          <w:numId w:val="17"/>
        </w:numPr>
        <w:tabs>
          <w:tab w:val="left" w:pos="819"/>
        </w:tabs>
        <w:autoSpaceDE w:val="0"/>
        <w:autoSpaceDN w:val="0"/>
        <w:spacing w:before="65"/>
        <w:contextualSpacing w:val="0"/>
        <w:rPr>
          <w:sz w:val="20"/>
        </w:rPr>
      </w:pPr>
      <w:r>
        <w:rPr>
          <w:sz w:val="20"/>
        </w:rPr>
        <w:t>Możliwość tworzenia animacji obiektów i całych</w:t>
      </w:r>
      <w:r>
        <w:rPr>
          <w:spacing w:val="-3"/>
          <w:sz w:val="20"/>
        </w:rPr>
        <w:t xml:space="preserve"> </w:t>
      </w:r>
      <w:r>
        <w:rPr>
          <w:sz w:val="20"/>
        </w:rPr>
        <w:t>slajdów.</w:t>
      </w:r>
    </w:p>
    <w:p w:rsidR="008C2381" w:rsidRDefault="008C2381" w:rsidP="008C2381">
      <w:pPr>
        <w:pStyle w:val="Akapitzlist"/>
        <w:widowControl w:val="0"/>
        <w:numPr>
          <w:ilvl w:val="1"/>
          <w:numId w:val="17"/>
        </w:numPr>
        <w:tabs>
          <w:tab w:val="left" w:pos="819"/>
        </w:tabs>
        <w:autoSpaceDE w:val="0"/>
        <w:autoSpaceDN w:val="0"/>
        <w:spacing w:before="92" w:line="261" w:lineRule="auto"/>
        <w:ind w:left="823" w:right="165" w:hanging="284"/>
        <w:contextualSpacing w:val="0"/>
        <w:rPr>
          <w:sz w:val="20"/>
        </w:rPr>
      </w:pPr>
      <w:r>
        <w:rPr>
          <w:sz w:val="20"/>
        </w:rPr>
        <w:t xml:space="preserve">Prowadzenie prezentacji w trybie prezentera, gdzie slajdy </w:t>
      </w:r>
      <w:r>
        <w:rPr>
          <w:spacing w:val="-3"/>
          <w:sz w:val="20"/>
        </w:rPr>
        <w:t xml:space="preserve">są </w:t>
      </w:r>
      <w:r>
        <w:rPr>
          <w:sz w:val="20"/>
        </w:rPr>
        <w:t xml:space="preserve">widoczne na jednym monitorze lub projektorze, a na drugim widoczne </w:t>
      </w:r>
      <w:r>
        <w:rPr>
          <w:spacing w:val="-3"/>
          <w:sz w:val="20"/>
        </w:rPr>
        <w:t xml:space="preserve">są </w:t>
      </w:r>
      <w:r>
        <w:rPr>
          <w:sz w:val="20"/>
        </w:rPr>
        <w:t>slajdy i notatki</w:t>
      </w:r>
      <w:r>
        <w:rPr>
          <w:spacing w:val="5"/>
          <w:sz w:val="20"/>
        </w:rPr>
        <w:t xml:space="preserve"> </w:t>
      </w:r>
      <w:r>
        <w:rPr>
          <w:sz w:val="20"/>
        </w:rPr>
        <w:t>prezentera.</w:t>
      </w:r>
    </w:p>
    <w:p w:rsidR="008C2381" w:rsidRDefault="008C2381" w:rsidP="008C2381">
      <w:pPr>
        <w:pStyle w:val="Akapitzlist"/>
        <w:widowControl w:val="0"/>
        <w:numPr>
          <w:ilvl w:val="1"/>
          <w:numId w:val="17"/>
        </w:numPr>
        <w:tabs>
          <w:tab w:val="left" w:pos="819"/>
        </w:tabs>
        <w:autoSpaceDE w:val="0"/>
        <w:autoSpaceDN w:val="0"/>
        <w:spacing w:before="65" w:line="261" w:lineRule="auto"/>
        <w:ind w:left="823" w:right="177" w:hanging="284"/>
        <w:contextualSpacing w:val="0"/>
        <w:rPr>
          <w:sz w:val="20"/>
        </w:rPr>
      </w:pPr>
      <w:r>
        <w:rPr>
          <w:sz w:val="20"/>
        </w:rPr>
        <w:t>Pełna zgodność z formatami plików utworzonych za pomocą oprogramowania MS PowerPoint 2007, MS PowerPoint 2010, 2013, 2016 i</w:t>
      </w:r>
      <w:r>
        <w:rPr>
          <w:spacing w:val="7"/>
          <w:sz w:val="20"/>
        </w:rPr>
        <w:t xml:space="preserve"> </w:t>
      </w:r>
      <w:r>
        <w:rPr>
          <w:sz w:val="20"/>
        </w:rPr>
        <w:t>2019.</w:t>
      </w:r>
    </w:p>
    <w:p w:rsidR="008C2381" w:rsidRDefault="008C2381" w:rsidP="008C2381">
      <w:pPr>
        <w:pStyle w:val="Akapitzlist"/>
        <w:widowControl w:val="0"/>
        <w:numPr>
          <w:ilvl w:val="0"/>
          <w:numId w:val="17"/>
        </w:numPr>
        <w:tabs>
          <w:tab w:val="left" w:pos="680"/>
        </w:tabs>
        <w:autoSpaceDE w:val="0"/>
        <w:autoSpaceDN w:val="0"/>
        <w:spacing w:before="70" w:line="261" w:lineRule="auto"/>
        <w:ind w:left="679" w:right="170" w:hanging="423"/>
        <w:contextualSpacing w:val="0"/>
        <w:rPr>
          <w:sz w:val="20"/>
        </w:rPr>
      </w:pPr>
      <w:r>
        <w:rPr>
          <w:sz w:val="20"/>
        </w:rPr>
        <w:t>Narzędzie do zarządzania informacją prywatną (pocztą elektroniczną,  kalendarzem,  kontaktami    i zadaniami) musi</w:t>
      </w:r>
      <w:r>
        <w:rPr>
          <w:spacing w:val="-1"/>
          <w:sz w:val="20"/>
        </w:rPr>
        <w:t xml:space="preserve"> </w:t>
      </w:r>
      <w:r>
        <w:rPr>
          <w:sz w:val="20"/>
        </w:rPr>
        <w:t>umożliwiać:</w:t>
      </w:r>
    </w:p>
    <w:p w:rsidR="008C2381" w:rsidRDefault="008C2381" w:rsidP="008C2381">
      <w:pPr>
        <w:pStyle w:val="Akapitzlist"/>
        <w:widowControl w:val="0"/>
        <w:numPr>
          <w:ilvl w:val="1"/>
          <w:numId w:val="17"/>
        </w:numPr>
        <w:tabs>
          <w:tab w:val="left" w:pos="819"/>
        </w:tabs>
        <w:autoSpaceDE w:val="0"/>
        <w:autoSpaceDN w:val="0"/>
        <w:spacing w:before="65"/>
        <w:contextualSpacing w:val="0"/>
        <w:rPr>
          <w:sz w:val="20"/>
        </w:rPr>
      </w:pPr>
      <w:r>
        <w:rPr>
          <w:sz w:val="20"/>
        </w:rPr>
        <w:t>Pobieranie i wysyłanie poczty elektronicznej z serwera</w:t>
      </w:r>
      <w:r>
        <w:rPr>
          <w:spacing w:val="-2"/>
          <w:sz w:val="20"/>
        </w:rPr>
        <w:t xml:space="preserve"> </w:t>
      </w:r>
      <w:r>
        <w:rPr>
          <w:sz w:val="20"/>
        </w:rPr>
        <w:t>pocztowego.</w:t>
      </w:r>
    </w:p>
    <w:p w:rsidR="008C2381" w:rsidRDefault="008C2381" w:rsidP="008C2381">
      <w:pPr>
        <w:pStyle w:val="Akapitzlist"/>
        <w:widowControl w:val="0"/>
        <w:numPr>
          <w:ilvl w:val="1"/>
          <w:numId w:val="17"/>
        </w:numPr>
        <w:tabs>
          <w:tab w:val="left" w:pos="819"/>
        </w:tabs>
        <w:autoSpaceDE w:val="0"/>
        <w:autoSpaceDN w:val="0"/>
        <w:spacing w:before="87" w:line="261" w:lineRule="auto"/>
        <w:ind w:left="823" w:right="182" w:hanging="284"/>
        <w:contextualSpacing w:val="0"/>
        <w:rPr>
          <w:sz w:val="20"/>
        </w:rPr>
      </w:pPr>
      <w:r>
        <w:rPr>
          <w:sz w:val="20"/>
        </w:rPr>
        <w:t>Przechowywanie wiadomości na serwerze lub w lokalnym pliku tworzonym z zastosowaniem efektywnej kompresji</w:t>
      </w:r>
      <w:r>
        <w:rPr>
          <w:spacing w:val="3"/>
          <w:sz w:val="20"/>
        </w:rPr>
        <w:t xml:space="preserve"> </w:t>
      </w:r>
      <w:r>
        <w:rPr>
          <w:sz w:val="20"/>
        </w:rPr>
        <w:t>danych.</w:t>
      </w:r>
    </w:p>
    <w:p w:rsidR="008C2381" w:rsidRDefault="008C2381" w:rsidP="008C2381">
      <w:pPr>
        <w:pStyle w:val="Akapitzlist"/>
        <w:widowControl w:val="0"/>
        <w:numPr>
          <w:ilvl w:val="1"/>
          <w:numId w:val="17"/>
        </w:numPr>
        <w:tabs>
          <w:tab w:val="left" w:pos="819"/>
        </w:tabs>
        <w:autoSpaceDE w:val="0"/>
        <w:autoSpaceDN w:val="0"/>
        <w:spacing w:before="70" w:line="261" w:lineRule="auto"/>
        <w:ind w:left="823" w:right="174" w:hanging="284"/>
        <w:contextualSpacing w:val="0"/>
        <w:rPr>
          <w:sz w:val="20"/>
        </w:rPr>
      </w:pPr>
      <w:r>
        <w:rPr>
          <w:sz w:val="20"/>
        </w:rPr>
        <w:t>Filtrowanie  niechcianej   poczty  elektronicznej   (SPAM)  oraz  określanie  listy  zablokowanych   i bezpiecznych</w:t>
      </w:r>
      <w:r>
        <w:rPr>
          <w:spacing w:val="4"/>
          <w:sz w:val="20"/>
        </w:rPr>
        <w:t xml:space="preserve"> </w:t>
      </w:r>
      <w:r>
        <w:rPr>
          <w:spacing w:val="-3"/>
          <w:sz w:val="20"/>
        </w:rPr>
        <w:t>nadawców.</w:t>
      </w:r>
    </w:p>
    <w:p w:rsidR="008C2381" w:rsidRPr="00873360" w:rsidRDefault="008C2381" w:rsidP="008C2381">
      <w:pPr>
        <w:pStyle w:val="Akapitzlist"/>
        <w:widowControl w:val="0"/>
        <w:numPr>
          <w:ilvl w:val="1"/>
          <w:numId w:val="17"/>
        </w:numPr>
        <w:tabs>
          <w:tab w:val="left" w:pos="819"/>
        </w:tabs>
        <w:autoSpaceDE w:val="0"/>
        <w:autoSpaceDN w:val="0"/>
        <w:spacing w:before="65"/>
        <w:contextualSpacing w:val="0"/>
        <w:rPr>
          <w:sz w:val="20"/>
        </w:rPr>
      </w:pPr>
      <w:r>
        <w:rPr>
          <w:sz w:val="20"/>
        </w:rPr>
        <w:t>Tworzenie katalogów, pozwalających katalogować pocztę</w:t>
      </w:r>
      <w:r>
        <w:rPr>
          <w:spacing w:val="2"/>
          <w:sz w:val="20"/>
        </w:rPr>
        <w:t xml:space="preserve"> </w:t>
      </w:r>
      <w:r>
        <w:rPr>
          <w:sz w:val="20"/>
        </w:rPr>
        <w:t>elektroniczną.</w:t>
      </w:r>
    </w:p>
    <w:p w:rsidR="008C2381" w:rsidRDefault="008C2381" w:rsidP="008C2381">
      <w:pPr>
        <w:pStyle w:val="Akapitzlist"/>
        <w:widowControl w:val="0"/>
        <w:numPr>
          <w:ilvl w:val="1"/>
          <w:numId w:val="17"/>
        </w:numPr>
        <w:tabs>
          <w:tab w:val="left" w:pos="819"/>
        </w:tabs>
        <w:autoSpaceDE w:val="0"/>
        <w:autoSpaceDN w:val="0"/>
        <w:spacing w:before="95"/>
        <w:contextualSpacing w:val="0"/>
        <w:rPr>
          <w:sz w:val="20"/>
        </w:rPr>
      </w:pPr>
      <w:r>
        <w:rPr>
          <w:sz w:val="20"/>
        </w:rPr>
        <w:t>Automatyczne grupowanie wiadomości poczty o tym samym</w:t>
      </w:r>
      <w:r>
        <w:rPr>
          <w:spacing w:val="-4"/>
          <w:sz w:val="20"/>
        </w:rPr>
        <w:t xml:space="preserve"> </w:t>
      </w:r>
      <w:r>
        <w:rPr>
          <w:sz w:val="20"/>
        </w:rPr>
        <w:t>tytule.</w:t>
      </w:r>
    </w:p>
    <w:p w:rsidR="008C2381" w:rsidRDefault="008C2381" w:rsidP="008C2381">
      <w:pPr>
        <w:pStyle w:val="Akapitzlist"/>
        <w:widowControl w:val="0"/>
        <w:numPr>
          <w:ilvl w:val="1"/>
          <w:numId w:val="17"/>
        </w:numPr>
        <w:tabs>
          <w:tab w:val="left" w:pos="819"/>
        </w:tabs>
        <w:autoSpaceDE w:val="0"/>
        <w:autoSpaceDN w:val="0"/>
        <w:spacing w:before="92" w:line="261" w:lineRule="auto"/>
        <w:ind w:left="823" w:right="173" w:hanging="284"/>
        <w:contextualSpacing w:val="0"/>
        <w:rPr>
          <w:sz w:val="20"/>
        </w:rPr>
      </w:pPr>
      <w:r>
        <w:rPr>
          <w:sz w:val="20"/>
        </w:rPr>
        <w:t xml:space="preserve">Tworzenie reguł przenoszących automatycznie </w:t>
      </w:r>
      <w:r>
        <w:rPr>
          <w:spacing w:val="-3"/>
          <w:sz w:val="20"/>
        </w:rPr>
        <w:t xml:space="preserve">nową </w:t>
      </w:r>
      <w:r>
        <w:rPr>
          <w:sz w:val="20"/>
        </w:rPr>
        <w:t>pocztę elektroniczną do określonych katalogów bazując na słowach zawartych w tytule, adresie nadawcy i</w:t>
      </w:r>
      <w:r>
        <w:rPr>
          <w:spacing w:val="-5"/>
          <w:sz w:val="20"/>
        </w:rPr>
        <w:t xml:space="preserve"> </w:t>
      </w:r>
      <w:r>
        <w:rPr>
          <w:sz w:val="20"/>
        </w:rPr>
        <w:t>odbiorcy.</w:t>
      </w:r>
    </w:p>
    <w:p w:rsidR="008C2381" w:rsidRDefault="008C2381" w:rsidP="008C2381">
      <w:pPr>
        <w:pStyle w:val="Akapitzlist"/>
        <w:widowControl w:val="0"/>
        <w:numPr>
          <w:ilvl w:val="1"/>
          <w:numId w:val="17"/>
        </w:numPr>
        <w:tabs>
          <w:tab w:val="left" w:pos="819"/>
        </w:tabs>
        <w:autoSpaceDE w:val="0"/>
        <w:autoSpaceDN w:val="0"/>
        <w:spacing w:before="65" w:line="261" w:lineRule="auto"/>
        <w:ind w:left="823" w:right="175" w:hanging="284"/>
        <w:contextualSpacing w:val="0"/>
        <w:rPr>
          <w:sz w:val="20"/>
        </w:rPr>
      </w:pPr>
      <w:r>
        <w:rPr>
          <w:sz w:val="20"/>
        </w:rPr>
        <w:t>Oflagowanie poczty elektronicznej z określeniem terminu przypomnienia, oddzielnie dla nadawcy i</w:t>
      </w:r>
      <w:r>
        <w:rPr>
          <w:spacing w:val="3"/>
          <w:sz w:val="20"/>
        </w:rPr>
        <w:t xml:space="preserve"> </w:t>
      </w:r>
      <w:r>
        <w:rPr>
          <w:sz w:val="20"/>
        </w:rPr>
        <w:t>adresatów.</w:t>
      </w:r>
    </w:p>
    <w:p w:rsidR="008C2381" w:rsidRDefault="008C2381" w:rsidP="008C2381">
      <w:pPr>
        <w:pStyle w:val="Akapitzlist"/>
        <w:widowControl w:val="0"/>
        <w:numPr>
          <w:ilvl w:val="1"/>
          <w:numId w:val="17"/>
        </w:numPr>
        <w:tabs>
          <w:tab w:val="left" w:pos="819"/>
        </w:tabs>
        <w:autoSpaceDE w:val="0"/>
        <w:autoSpaceDN w:val="0"/>
        <w:spacing w:before="66"/>
        <w:contextualSpacing w:val="0"/>
        <w:rPr>
          <w:sz w:val="20"/>
        </w:rPr>
      </w:pPr>
      <w:r>
        <w:rPr>
          <w:sz w:val="20"/>
        </w:rPr>
        <w:t xml:space="preserve">Mechanizm ustalania liczby wiadomości, które mają </w:t>
      </w:r>
      <w:r>
        <w:rPr>
          <w:spacing w:val="-3"/>
          <w:sz w:val="20"/>
        </w:rPr>
        <w:t xml:space="preserve">być </w:t>
      </w:r>
      <w:r>
        <w:rPr>
          <w:sz w:val="20"/>
        </w:rPr>
        <w:t>synchronizowane</w:t>
      </w:r>
      <w:r>
        <w:rPr>
          <w:spacing w:val="-1"/>
          <w:sz w:val="20"/>
        </w:rPr>
        <w:t xml:space="preserve"> </w:t>
      </w:r>
      <w:r>
        <w:rPr>
          <w:sz w:val="20"/>
        </w:rPr>
        <w:t>lokalnie.</w:t>
      </w:r>
    </w:p>
    <w:p w:rsidR="008C2381" w:rsidRDefault="008C2381" w:rsidP="008C2381">
      <w:pPr>
        <w:pStyle w:val="Akapitzlist"/>
        <w:widowControl w:val="0"/>
        <w:numPr>
          <w:ilvl w:val="1"/>
          <w:numId w:val="17"/>
        </w:numPr>
        <w:tabs>
          <w:tab w:val="left" w:pos="819"/>
        </w:tabs>
        <w:autoSpaceDE w:val="0"/>
        <w:autoSpaceDN w:val="0"/>
        <w:spacing w:before="86"/>
        <w:contextualSpacing w:val="0"/>
        <w:rPr>
          <w:sz w:val="20"/>
        </w:rPr>
      </w:pPr>
      <w:r>
        <w:rPr>
          <w:sz w:val="20"/>
        </w:rPr>
        <w:t>Zarządzanie</w:t>
      </w:r>
      <w:r>
        <w:rPr>
          <w:spacing w:val="-1"/>
          <w:sz w:val="20"/>
        </w:rPr>
        <w:t xml:space="preserve"> </w:t>
      </w:r>
      <w:r>
        <w:rPr>
          <w:sz w:val="20"/>
        </w:rPr>
        <w:t>kalendarzem.</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pacing w:val="-5"/>
          <w:sz w:val="20"/>
        </w:rPr>
        <w:t xml:space="preserve">Udostępnianie kalendarza innym </w:t>
      </w:r>
      <w:r>
        <w:rPr>
          <w:spacing w:val="-6"/>
          <w:sz w:val="20"/>
        </w:rPr>
        <w:t xml:space="preserve">użytkownikom </w:t>
      </w:r>
      <w:r>
        <w:rPr>
          <w:sz w:val="20"/>
        </w:rPr>
        <w:t xml:space="preserve">z </w:t>
      </w:r>
      <w:r>
        <w:rPr>
          <w:spacing w:val="-5"/>
          <w:sz w:val="20"/>
        </w:rPr>
        <w:t>możliwością określania uprawnień</w:t>
      </w:r>
      <w:r>
        <w:rPr>
          <w:spacing w:val="7"/>
          <w:sz w:val="20"/>
        </w:rPr>
        <w:t xml:space="preserve"> </w:t>
      </w:r>
      <w:r>
        <w:rPr>
          <w:spacing w:val="-5"/>
          <w:sz w:val="20"/>
        </w:rPr>
        <w:t>użytkowników.</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Przeglądanie kalendarza innych</w:t>
      </w:r>
      <w:r>
        <w:rPr>
          <w:spacing w:val="-6"/>
          <w:sz w:val="20"/>
        </w:rPr>
        <w:t xml:space="preserve"> </w:t>
      </w:r>
      <w:r>
        <w:rPr>
          <w:sz w:val="20"/>
        </w:rPr>
        <w:t>użytkowników.</w:t>
      </w:r>
    </w:p>
    <w:p w:rsidR="008C2381" w:rsidRDefault="008C2381" w:rsidP="008C2381">
      <w:pPr>
        <w:pStyle w:val="Akapitzlist"/>
        <w:widowControl w:val="0"/>
        <w:numPr>
          <w:ilvl w:val="1"/>
          <w:numId w:val="17"/>
        </w:numPr>
        <w:tabs>
          <w:tab w:val="left" w:pos="819"/>
        </w:tabs>
        <w:autoSpaceDE w:val="0"/>
        <w:autoSpaceDN w:val="0"/>
        <w:spacing w:before="87" w:line="266" w:lineRule="auto"/>
        <w:ind w:left="823" w:right="167" w:hanging="284"/>
        <w:contextualSpacing w:val="0"/>
        <w:rPr>
          <w:sz w:val="20"/>
        </w:rPr>
      </w:pPr>
      <w:r>
        <w:rPr>
          <w:sz w:val="20"/>
        </w:rPr>
        <w:t>Zapraszanie uczestników na spotkanie, co po ich akceptacji powoduje automatyczne wprowadzenie spotkania w ich</w:t>
      </w:r>
      <w:r>
        <w:rPr>
          <w:spacing w:val="-5"/>
          <w:sz w:val="20"/>
        </w:rPr>
        <w:t xml:space="preserve"> </w:t>
      </w:r>
      <w:r>
        <w:rPr>
          <w:sz w:val="20"/>
        </w:rPr>
        <w:t>kalendarzach.</w:t>
      </w:r>
    </w:p>
    <w:p w:rsidR="008C2381" w:rsidRDefault="008C2381" w:rsidP="008C2381">
      <w:pPr>
        <w:pStyle w:val="Akapitzlist"/>
        <w:widowControl w:val="0"/>
        <w:numPr>
          <w:ilvl w:val="1"/>
          <w:numId w:val="17"/>
        </w:numPr>
        <w:tabs>
          <w:tab w:val="left" w:pos="819"/>
        </w:tabs>
        <w:autoSpaceDE w:val="0"/>
        <w:autoSpaceDN w:val="0"/>
        <w:spacing w:before="56"/>
        <w:contextualSpacing w:val="0"/>
        <w:rPr>
          <w:sz w:val="20"/>
        </w:rPr>
      </w:pPr>
      <w:r>
        <w:rPr>
          <w:sz w:val="20"/>
        </w:rPr>
        <w:t>Zarządzanie listą</w:t>
      </w:r>
      <w:r>
        <w:rPr>
          <w:spacing w:val="-5"/>
          <w:sz w:val="20"/>
        </w:rPr>
        <w:t xml:space="preserve"> </w:t>
      </w:r>
      <w:r>
        <w:rPr>
          <w:sz w:val="20"/>
        </w:rPr>
        <w:t>zadań.</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Zlecanie zadań innym użytkownikom.</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Zarządzanie listą</w:t>
      </w:r>
      <w:r>
        <w:rPr>
          <w:spacing w:val="-6"/>
          <w:sz w:val="20"/>
        </w:rPr>
        <w:t xml:space="preserve"> </w:t>
      </w:r>
      <w:r>
        <w:rPr>
          <w:sz w:val="20"/>
        </w:rPr>
        <w:t>kontaktów.</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Udostępnianie listy kontaktów innym</w:t>
      </w:r>
      <w:r>
        <w:rPr>
          <w:spacing w:val="-4"/>
          <w:sz w:val="20"/>
        </w:rPr>
        <w:t xml:space="preserve"> </w:t>
      </w:r>
      <w:r>
        <w:rPr>
          <w:sz w:val="20"/>
        </w:rPr>
        <w:t>użytkownikom.</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z w:val="20"/>
        </w:rPr>
        <w:t>Przeglądanie listy kontaktów innych</w:t>
      </w:r>
      <w:r>
        <w:rPr>
          <w:spacing w:val="-10"/>
          <w:sz w:val="20"/>
        </w:rPr>
        <w:t xml:space="preserve"> </w:t>
      </w:r>
      <w:r>
        <w:rPr>
          <w:sz w:val="20"/>
        </w:rPr>
        <w:t>użytkowników.</w:t>
      </w:r>
    </w:p>
    <w:p w:rsidR="008C2381" w:rsidRDefault="008C2381" w:rsidP="008C2381">
      <w:pPr>
        <w:pStyle w:val="Akapitzlist"/>
        <w:widowControl w:val="0"/>
        <w:numPr>
          <w:ilvl w:val="1"/>
          <w:numId w:val="17"/>
        </w:numPr>
        <w:tabs>
          <w:tab w:val="left" w:pos="819"/>
        </w:tabs>
        <w:autoSpaceDE w:val="0"/>
        <w:autoSpaceDN w:val="0"/>
        <w:spacing w:before="82"/>
        <w:contextualSpacing w:val="0"/>
        <w:rPr>
          <w:sz w:val="20"/>
        </w:rPr>
      </w:pPr>
      <w:r>
        <w:rPr>
          <w:sz w:val="20"/>
        </w:rPr>
        <w:t>Możliwość przesyłania kontaktów innym</w:t>
      </w:r>
      <w:r>
        <w:rPr>
          <w:spacing w:val="1"/>
          <w:sz w:val="20"/>
        </w:rPr>
        <w:t xml:space="preserve"> </w:t>
      </w:r>
      <w:r>
        <w:rPr>
          <w:sz w:val="20"/>
        </w:rPr>
        <w:t>użytkowników.</w:t>
      </w:r>
    </w:p>
    <w:p w:rsidR="008C2381" w:rsidRDefault="008C2381" w:rsidP="008C2381">
      <w:pPr>
        <w:pStyle w:val="Akapitzlist"/>
        <w:widowControl w:val="0"/>
        <w:numPr>
          <w:ilvl w:val="1"/>
          <w:numId w:val="17"/>
        </w:numPr>
        <w:tabs>
          <w:tab w:val="left" w:pos="819"/>
        </w:tabs>
        <w:autoSpaceDE w:val="0"/>
        <w:autoSpaceDN w:val="0"/>
        <w:spacing w:before="87"/>
        <w:contextualSpacing w:val="0"/>
        <w:rPr>
          <w:sz w:val="20"/>
        </w:rPr>
      </w:pPr>
      <w:r>
        <w:rPr>
          <w:spacing w:val="-5"/>
          <w:sz w:val="20"/>
        </w:rPr>
        <w:t xml:space="preserve">Możliwość </w:t>
      </w:r>
      <w:r>
        <w:rPr>
          <w:spacing w:val="-6"/>
          <w:sz w:val="20"/>
        </w:rPr>
        <w:t xml:space="preserve">wykorzystania </w:t>
      </w:r>
      <w:r>
        <w:rPr>
          <w:sz w:val="20"/>
        </w:rPr>
        <w:t xml:space="preserve">do </w:t>
      </w:r>
      <w:r>
        <w:rPr>
          <w:spacing w:val="-5"/>
          <w:sz w:val="20"/>
        </w:rPr>
        <w:t xml:space="preserve">komunikacji </w:t>
      </w:r>
      <w:r>
        <w:rPr>
          <w:sz w:val="20"/>
        </w:rPr>
        <w:t xml:space="preserve">z </w:t>
      </w:r>
      <w:r>
        <w:rPr>
          <w:spacing w:val="-6"/>
          <w:sz w:val="20"/>
        </w:rPr>
        <w:t xml:space="preserve">serwerem pocztowym </w:t>
      </w:r>
      <w:r>
        <w:rPr>
          <w:spacing w:val="-5"/>
          <w:sz w:val="20"/>
        </w:rPr>
        <w:t xml:space="preserve">mechanizmu </w:t>
      </w:r>
      <w:r>
        <w:rPr>
          <w:spacing w:val="-4"/>
          <w:sz w:val="20"/>
        </w:rPr>
        <w:t xml:space="preserve">MAPI </w:t>
      </w:r>
      <w:r>
        <w:rPr>
          <w:spacing w:val="-6"/>
          <w:sz w:val="20"/>
        </w:rPr>
        <w:t>poprzez</w:t>
      </w:r>
      <w:r>
        <w:rPr>
          <w:spacing w:val="13"/>
          <w:sz w:val="20"/>
        </w:rPr>
        <w:t xml:space="preserve"> </w:t>
      </w:r>
      <w:r>
        <w:rPr>
          <w:spacing w:val="-4"/>
          <w:sz w:val="20"/>
        </w:rPr>
        <w:t>http.</w:t>
      </w:r>
    </w:p>
    <w:p w:rsidR="008C2381" w:rsidRPr="00873360" w:rsidRDefault="008C2381" w:rsidP="008C2381">
      <w:pPr>
        <w:tabs>
          <w:tab w:val="left" w:pos="680"/>
        </w:tabs>
        <w:spacing w:before="57"/>
        <w:rPr>
          <w:sz w:val="20"/>
        </w:rPr>
      </w:pPr>
    </w:p>
    <w:p w:rsidR="008C2381" w:rsidRPr="009771C7" w:rsidRDefault="008C2381" w:rsidP="008C2381">
      <w:pPr>
        <w:rPr>
          <w:rFonts w:asciiTheme="minorHAnsi" w:hAnsiTheme="minorHAnsi" w:cstheme="minorHAnsi"/>
          <w:bCs/>
          <w:sz w:val="20"/>
        </w:rPr>
      </w:pPr>
    </w:p>
    <w:p w:rsidR="008C2381" w:rsidRPr="008C2381" w:rsidRDefault="008C2381" w:rsidP="008C2381">
      <w:pPr>
        <w:pStyle w:val="NormalnyWeb"/>
        <w:numPr>
          <w:ilvl w:val="0"/>
          <w:numId w:val="8"/>
        </w:numPr>
        <w:spacing w:beforeAutospacing="0" w:after="28" w:afterAutospacing="0"/>
        <w:rPr>
          <w:color w:val="000000"/>
          <w:sz w:val="36"/>
          <w:szCs w:val="36"/>
          <w:lang w:val="pl-PL"/>
        </w:rPr>
      </w:pPr>
      <w:r w:rsidRPr="008C2381">
        <w:rPr>
          <w:rFonts w:ascii="Calibri" w:hAnsi="Calibri"/>
          <w:color w:val="000000"/>
          <w:sz w:val="36"/>
          <w:szCs w:val="36"/>
          <w:lang w:val="pl-PL"/>
        </w:rPr>
        <w:lastRenderedPageBreak/>
        <w:t xml:space="preserve">35 licencji dostępowych typu „na użytkownika” – Windows Server 2022 USER </w:t>
      </w:r>
      <w:proofErr w:type="spellStart"/>
      <w:r w:rsidRPr="008C2381">
        <w:rPr>
          <w:rFonts w:ascii="Calibri" w:hAnsi="Calibri"/>
          <w:color w:val="000000"/>
          <w:sz w:val="36"/>
          <w:szCs w:val="36"/>
          <w:lang w:val="pl-PL"/>
        </w:rPr>
        <w:t>CALs</w:t>
      </w:r>
      <w:proofErr w:type="spellEnd"/>
    </w:p>
    <w:p w:rsidR="008C2381" w:rsidRPr="008C2381" w:rsidRDefault="008C2381" w:rsidP="008C2381">
      <w:pPr>
        <w:pStyle w:val="NormalnyWeb"/>
        <w:spacing w:beforeAutospacing="0" w:after="28" w:afterAutospacing="0"/>
        <w:ind w:left="720"/>
        <w:rPr>
          <w:color w:val="000000"/>
          <w:sz w:val="27"/>
          <w:szCs w:val="27"/>
          <w:lang w:val="pl-PL"/>
        </w:rPr>
      </w:pPr>
    </w:p>
    <w:p w:rsidR="008C2381" w:rsidRDefault="008C2381" w:rsidP="008C2381">
      <w:pPr>
        <w:pStyle w:val="gmail-standard"/>
        <w:spacing w:before="0" w:beforeAutospacing="0" w:after="216" w:afterAutospacing="0" w:line="195" w:lineRule="atLeast"/>
        <w:jc w:val="both"/>
        <w:rPr>
          <w:rFonts w:ascii="Calibri" w:hAnsi="Calibri"/>
          <w:color w:val="000000"/>
          <w:sz w:val="22"/>
          <w:szCs w:val="22"/>
        </w:rPr>
      </w:pPr>
      <w:r>
        <w:rPr>
          <w:rFonts w:ascii="Calibri" w:hAnsi="Calibri"/>
          <w:color w:val="000000"/>
          <w:sz w:val="20"/>
          <w:szCs w:val="20"/>
        </w:rPr>
        <w:t>Opis równoważności:</w:t>
      </w:r>
    </w:p>
    <w:p w:rsidR="008C2381" w:rsidRDefault="008C2381" w:rsidP="008C2381">
      <w:pPr>
        <w:pStyle w:val="gmail-msolistparagraph"/>
        <w:spacing w:before="0" w:beforeAutospacing="0" w:after="216" w:afterAutospacing="0" w:line="254" w:lineRule="auto"/>
        <w:ind w:left="360"/>
        <w:jc w:val="both"/>
        <w:rPr>
          <w:rFonts w:ascii="Calibri" w:hAnsi="Calibri"/>
          <w:sz w:val="22"/>
          <w:szCs w:val="22"/>
        </w:rPr>
      </w:pPr>
      <w:r>
        <w:rPr>
          <w:rFonts w:ascii="Calibri" w:hAnsi="Calibri"/>
          <w:sz w:val="22"/>
          <w:szCs w:val="22"/>
        </w:rPr>
        <w:t>1)</w:t>
      </w:r>
      <w:r>
        <w:rPr>
          <w:sz w:val="14"/>
          <w:szCs w:val="14"/>
        </w:rPr>
        <w:t>    </w:t>
      </w:r>
      <w:r>
        <w:rPr>
          <w:rStyle w:val="gmail-apple-converted-space"/>
          <w:sz w:val="14"/>
          <w:szCs w:val="14"/>
        </w:rPr>
        <w:t> </w:t>
      </w:r>
      <w:r>
        <w:rPr>
          <w:rFonts w:ascii="Calibri" w:hAnsi="Calibri"/>
          <w:sz w:val="20"/>
          <w:szCs w:val="20"/>
        </w:rPr>
        <w:t>W celu utrzymania standaryzacji oprogramowania i pełnej jego kompatybilności, w opisie przedmiotu zamówienia wskazano znak towarowy firmy Microsoft ze względu na fakt rozszerzania posiadanych przez Zamawiającego licencji.</w:t>
      </w:r>
    </w:p>
    <w:p w:rsidR="008C2381" w:rsidRDefault="008C2381" w:rsidP="008C2381">
      <w:pPr>
        <w:pStyle w:val="gmail-msolistparagraph"/>
        <w:spacing w:before="0" w:beforeAutospacing="0" w:after="216" w:afterAutospacing="0" w:line="254" w:lineRule="auto"/>
        <w:ind w:left="360"/>
        <w:jc w:val="both"/>
        <w:rPr>
          <w:rFonts w:ascii="Calibri" w:hAnsi="Calibri"/>
          <w:sz w:val="22"/>
          <w:szCs w:val="22"/>
        </w:rPr>
      </w:pPr>
      <w:r>
        <w:rPr>
          <w:rFonts w:ascii="Calibri" w:hAnsi="Calibri"/>
          <w:sz w:val="20"/>
          <w:szCs w:val="20"/>
        </w:rPr>
        <w:t>2)</w:t>
      </w:r>
      <w:r>
        <w:rPr>
          <w:sz w:val="14"/>
          <w:szCs w:val="14"/>
        </w:rPr>
        <w:t>    </w:t>
      </w:r>
      <w:r>
        <w:rPr>
          <w:rStyle w:val="gmail-apple-converted-space"/>
          <w:sz w:val="14"/>
          <w:szCs w:val="14"/>
        </w:rPr>
        <w:t> </w:t>
      </w:r>
      <w:r>
        <w:rPr>
          <w:rFonts w:ascii="Calibri" w:hAnsi="Calibri"/>
          <w:sz w:val="20"/>
          <w:szCs w:val="20"/>
        </w:rPr>
        <w:t>W oparciu o art. 29 ust. 3 Ustawy z dnia 29.01.2004 r. Prawo zamówień publicznych wskazano znak towarowy firmy Microsoft jako wzorzec funkcjonalno-jakościowy przedmiotu Zamówienia.</w:t>
      </w:r>
    </w:p>
    <w:p w:rsidR="008C2381" w:rsidRDefault="008C2381" w:rsidP="008C2381">
      <w:pPr>
        <w:pStyle w:val="gmail-msolistparagraph"/>
        <w:spacing w:before="0" w:beforeAutospacing="0" w:after="216" w:afterAutospacing="0" w:line="254" w:lineRule="auto"/>
        <w:ind w:left="360"/>
        <w:jc w:val="both"/>
        <w:rPr>
          <w:rFonts w:ascii="Calibri" w:hAnsi="Calibri"/>
          <w:sz w:val="22"/>
          <w:szCs w:val="22"/>
        </w:rPr>
      </w:pPr>
      <w:r>
        <w:rPr>
          <w:rFonts w:ascii="Calibri" w:hAnsi="Calibri"/>
          <w:sz w:val="22"/>
          <w:szCs w:val="22"/>
        </w:rPr>
        <w:t>3)</w:t>
      </w:r>
      <w:r>
        <w:rPr>
          <w:sz w:val="14"/>
          <w:szCs w:val="14"/>
        </w:rPr>
        <w:t>   </w:t>
      </w:r>
      <w:r>
        <w:rPr>
          <w:rFonts w:ascii="Calibri" w:hAnsi="Calibri"/>
          <w:sz w:val="20"/>
          <w:szCs w:val="20"/>
        </w:rPr>
        <w:t>Oznacza to tym samym, że Zamawiający dopuszcza złożenie oferty na licencję dostępowego do oprogramowania serwerowego służącego do uzyskania dostępu do zasobów serwera będącego w posiadaniu Zamawiającego, o parametrach funkcjonalnych i jakościowych tożsamych z parametrami oprogramowania określonego we wzorcu, o ile jednocześnie zostaną zachowane pozostałe wymagania, określone w OPZ oraz zaoferowane licencje dostępowe do oprogramowania serwera będzie w pełni i poprawnie funkcjonowało z posiadanym i użytkowanym przez Zamawiającego oprogramowaniem serwera .         </w:t>
      </w:r>
      <w:r>
        <w:rPr>
          <w:rStyle w:val="gmail-apple-converted-space"/>
          <w:rFonts w:ascii="Calibri" w:hAnsi="Calibri"/>
          <w:sz w:val="20"/>
          <w:szCs w:val="20"/>
        </w:rPr>
        <w:t> </w:t>
      </w:r>
    </w:p>
    <w:p w:rsidR="008C2381" w:rsidRDefault="008C2381" w:rsidP="008C2381">
      <w:pPr>
        <w:pStyle w:val="gmail-msolistparagraph"/>
        <w:spacing w:before="0" w:beforeAutospacing="0" w:after="216" w:afterAutospacing="0" w:line="254" w:lineRule="auto"/>
        <w:ind w:left="360"/>
        <w:jc w:val="both"/>
        <w:rPr>
          <w:rFonts w:ascii="Calibri" w:hAnsi="Calibri"/>
          <w:sz w:val="22"/>
          <w:szCs w:val="22"/>
        </w:rPr>
      </w:pPr>
      <w:r>
        <w:rPr>
          <w:rFonts w:ascii="Calibri" w:hAnsi="Calibri"/>
          <w:sz w:val="20"/>
          <w:szCs w:val="20"/>
        </w:rPr>
        <w:t>4)</w:t>
      </w:r>
      <w:r>
        <w:rPr>
          <w:sz w:val="14"/>
          <w:szCs w:val="14"/>
        </w:rPr>
        <w:t>    </w:t>
      </w:r>
      <w:r>
        <w:rPr>
          <w:rStyle w:val="gmail-apple-converted-space"/>
          <w:sz w:val="14"/>
          <w:szCs w:val="14"/>
        </w:rPr>
        <w:t> </w:t>
      </w:r>
      <w:r>
        <w:rPr>
          <w:rFonts w:ascii="Calibri" w:hAnsi="Calibri"/>
          <w:sz w:val="20"/>
          <w:szCs w:val="20"/>
        </w:rPr>
        <w:t>Jednocześnie Zamawiający zakłada, że wykazanie równoważności złożonej oferty leży po stronie Wykonawcy i w razie wątpliwości powinno zostać udokumentowane w możliwie najbardziej obiektywny sposób.</w:t>
      </w:r>
    </w:p>
    <w:p w:rsidR="008C2381" w:rsidRDefault="008C2381" w:rsidP="008C2381">
      <w:pPr>
        <w:pStyle w:val="gmail-msolistparagraph"/>
        <w:spacing w:before="0" w:beforeAutospacing="0" w:after="216" w:afterAutospacing="0" w:line="254" w:lineRule="auto"/>
        <w:ind w:left="360"/>
        <w:jc w:val="both"/>
        <w:rPr>
          <w:rFonts w:ascii="Calibri" w:hAnsi="Calibri"/>
          <w:sz w:val="22"/>
          <w:szCs w:val="22"/>
        </w:rPr>
      </w:pPr>
      <w:r>
        <w:rPr>
          <w:rFonts w:ascii="Calibri" w:hAnsi="Calibri"/>
          <w:sz w:val="20"/>
          <w:szCs w:val="20"/>
        </w:rPr>
        <w:t>5)</w:t>
      </w:r>
      <w:r>
        <w:rPr>
          <w:sz w:val="14"/>
          <w:szCs w:val="14"/>
        </w:rPr>
        <w:t>    </w:t>
      </w:r>
      <w:r>
        <w:rPr>
          <w:rStyle w:val="gmail-apple-converted-space"/>
          <w:sz w:val="14"/>
          <w:szCs w:val="14"/>
        </w:rPr>
        <w:t> </w:t>
      </w:r>
      <w:r>
        <w:rPr>
          <w:rFonts w:ascii="Calibri" w:hAnsi="Calibri"/>
          <w:sz w:val="20"/>
          <w:szCs w:val="20"/>
        </w:rPr>
        <w:t>W przypadku zaoferowania przez Wykonawcę licencji dostępowych do oprogramowania serwerowego innego niż Microsoft Server, oświadczenie tego Wykonawcy zostanie przesłane do producenta ww. oprogramowania, celem jego weryfikacji.</w:t>
      </w:r>
    </w:p>
    <w:sectPr w:rsidR="008C2381" w:rsidSect="00B11E9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3DD" w:rsidRDefault="002B33DD" w:rsidP="00CD299F">
      <w:r>
        <w:separator/>
      </w:r>
    </w:p>
  </w:endnote>
  <w:endnote w:type="continuationSeparator" w:id="0">
    <w:p w:rsidR="002B33DD" w:rsidRDefault="002B33DD" w:rsidP="00CD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3DD" w:rsidRDefault="002B33DD" w:rsidP="00CD299F">
      <w:r>
        <w:separator/>
      </w:r>
    </w:p>
  </w:footnote>
  <w:footnote w:type="continuationSeparator" w:id="0">
    <w:p w:rsidR="002B33DD" w:rsidRDefault="002B33DD" w:rsidP="00CD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005" w:rsidRDefault="00B11005">
    <w:pPr>
      <w:pStyle w:val="Nagwek"/>
    </w:pPr>
    <w:r>
      <w:rPr>
        <w:noProof/>
      </w:rPr>
      <w:drawing>
        <wp:anchor distT="0" distB="0" distL="0" distR="0" simplePos="0" relativeHeight="251659264" behindDoc="0" locked="0" layoutInCell="1" allowOverlap="1">
          <wp:simplePos x="0" y="0"/>
          <wp:positionH relativeFrom="page">
            <wp:posOffset>914400</wp:posOffset>
          </wp:positionH>
          <wp:positionV relativeFrom="topMargin">
            <wp:posOffset>628650</wp:posOffset>
          </wp:positionV>
          <wp:extent cx="5759450" cy="681355"/>
          <wp:effectExtent l="0" t="0" r="0" b="4445"/>
          <wp:wrapSquare wrapText="largest"/>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681355"/>
                  </a:xfrm>
                  <a:prstGeom prst="rect">
                    <a:avLst/>
                  </a:prstGeom>
                  <a:solidFill>
                    <a:srgbClr val="FFFFFF"/>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C13"/>
    <w:multiLevelType w:val="hybridMultilevel"/>
    <w:tmpl w:val="4B06B448"/>
    <w:lvl w:ilvl="0" w:tplc="A1A268B0">
      <w:start w:val="1"/>
      <w:numFmt w:val="decimal"/>
      <w:lvlText w:val="%1."/>
      <w:lvlJc w:val="left"/>
      <w:pPr>
        <w:ind w:left="720" w:hanging="360"/>
      </w:pPr>
      <w:rPr>
        <w:rFonts w:hint="default"/>
        <w:b/>
        <w:bCs/>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751D46"/>
    <w:multiLevelType w:val="hybridMultilevel"/>
    <w:tmpl w:val="97701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6C7101"/>
    <w:multiLevelType w:val="hybridMultilevel"/>
    <w:tmpl w:val="F7EE19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94666F"/>
    <w:multiLevelType w:val="hybridMultilevel"/>
    <w:tmpl w:val="28165ACC"/>
    <w:lvl w:ilvl="0" w:tplc="7EAC3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12077"/>
    <w:multiLevelType w:val="hybridMultilevel"/>
    <w:tmpl w:val="4A168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5916EF6"/>
    <w:multiLevelType w:val="hybridMultilevel"/>
    <w:tmpl w:val="AF724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93AE5"/>
    <w:multiLevelType w:val="hybridMultilevel"/>
    <w:tmpl w:val="8BA6CA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ED75CC"/>
    <w:multiLevelType w:val="hybridMultilevel"/>
    <w:tmpl w:val="A5460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C2491"/>
    <w:multiLevelType w:val="hybridMultilevel"/>
    <w:tmpl w:val="2766D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67D1F0D"/>
    <w:multiLevelType w:val="hybridMultilevel"/>
    <w:tmpl w:val="F6D4CF70"/>
    <w:lvl w:ilvl="0" w:tplc="A3CE96B2">
      <w:start w:val="1"/>
      <w:numFmt w:val="decimal"/>
      <w:lvlText w:val="%1."/>
      <w:lvlJc w:val="left"/>
      <w:pPr>
        <w:ind w:left="540" w:hanging="284"/>
      </w:pPr>
      <w:rPr>
        <w:rFonts w:ascii="Arial" w:eastAsia="Arial" w:hAnsi="Arial" w:cs="Arial" w:hint="default"/>
        <w:spacing w:val="-2"/>
        <w:w w:val="100"/>
        <w:sz w:val="20"/>
        <w:szCs w:val="20"/>
        <w:lang w:val="pl-PL" w:eastAsia="en-US" w:bidi="ar-SA"/>
      </w:rPr>
    </w:lvl>
    <w:lvl w:ilvl="1" w:tplc="9AB8FED4">
      <w:start w:val="1"/>
      <w:numFmt w:val="lowerLetter"/>
      <w:lvlText w:val="%2."/>
      <w:lvlJc w:val="left"/>
      <w:pPr>
        <w:ind w:left="818" w:hanging="279"/>
      </w:pPr>
      <w:rPr>
        <w:rFonts w:ascii="Arial" w:eastAsia="Arial" w:hAnsi="Arial" w:cs="Arial" w:hint="default"/>
        <w:spacing w:val="-2"/>
        <w:w w:val="100"/>
        <w:sz w:val="20"/>
        <w:szCs w:val="20"/>
        <w:lang w:val="pl-PL" w:eastAsia="en-US" w:bidi="ar-SA"/>
      </w:rPr>
    </w:lvl>
    <w:lvl w:ilvl="2" w:tplc="ACB41674">
      <w:numFmt w:val="bullet"/>
      <w:lvlText w:val="•"/>
      <w:lvlJc w:val="left"/>
      <w:pPr>
        <w:ind w:left="1800" w:hanging="279"/>
      </w:pPr>
      <w:rPr>
        <w:rFonts w:hint="default"/>
        <w:lang w:val="pl-PL" w:eastAsia="en-US" w:bidi="ar-SA"/>
      </w:rPr>
    </w:lvl>
    <w:lvl w:ilvl="3" w:tplc="E4E82D9C">
      <w:numFmt w:val="bullet"/>
      <w:lvlText w:val="•"/>
      <w:lvlJc w:val="left"/>
      <w:pPr>
        <w:ind w:left="2780" w:hanging="279"/>
      </w:pPr>
      <w:rPr>
        <w:rFonts w:hint="default"/>
        <w:lang w:val="pl-PL" w:eastAsia="en-US" w:bidi="ar-SA"/>
      </w:rPr>
    </w:lvl>
    <w:lvl w:ilvl="4" w:tplc="403C924A">
      <w:numFmt w:val="bullet"/>
      <w:lvlText w:val="•"/>
      <w:lvlJc w:val="left"/>
      <w:pPr>
        <w:ind w:left="3761" w:hanging="279"/>
      </w:pPr>
      <w:rPr>
        <w:rFonts w:hint="default"/>
        <w:lang w:val="pl-PL" w:eastAsia="en-US" w:bidi="ar-SA"/>
      </w:rPr>
    </w:lvl>
    <w:lvl w:ilvl="5" w:tplc="AF76E180">
      <w:numFmt w:val="bullet"/>
      <w:lvlText w:val="•"/>
      <w:lvlJc w:val="left"/>
      <w:pPr>
        <w:ind w:left="4741" w:hanging="279"/>
      </w:pPr>
      <w:rPr>
        <w:rFonts w:hint="default"/>
        <w:lang w:val="pl-PL" w:eastAsia="en-US" w:bidi="ar-SA"/>
      </w:rPr>
    </w:lvl>
    <w:lvl w:ilvl="6" w:tplc="888AA68E">
      <w:numFmt w:val="bullet"/>
      <w:lvlText w:val="•"/>
      <w:lvlJc w:val="left"/>
      <w:pPr>
        <w:ind w:left="5722" w:hanging="279"/>
      </w:pPr>
      <w:rPr>
        <w:rFonts w:hint="default"/>
        <w:lang w:val="pl-PL" w:eastAsia="en-US" w:bidi="ar-SA"/>
      </w:rPr>
    </w:lvl>
    <w:lvl w:ilvl="7" w:tplc="47BC6DE0">
      <w:numFmt w:val="bullet"/>
      <w:lvlText w:val="•"/>
      <w:lvlJc w:val="left"/>
      <w:pPr>
        <w:ind w:left="6702" w:hanging="279"/>
      </w:pPr>
      <w:rPr>
        <w:rFonts w:hint="default"/>
        <w:lang w:val="pl-PL" w:eastAsia="en-US" w:bidi="ar-SA"/>
      </w:rPr>
    </w:lvl>
    <w:lvl w:ilvl="8" w:tplc="94EEE16E">
      <w:numFmt w:val="bullet"/>
      <w:lvlText w:val="•"/>
      <w:lvlJc w:val="left"/>
      <w:pPr>
        <w:ind w:left="7683" w:hanging="279"/>
      </w:pPr>
      <w:rPr>
        <w:rFonts w:hint="default"/>
        <w:lang w:val="pl-PL" w:eastAsia="en-US" w:bidi="ar-SA"/>
      </w:rPr>
    </w:lvl>
  </w:abstractNum>
  <w:abstractNum w:abstractNumId="10">
    <w:nsid w:val="38C76FE5"/>
    <w:multiLevelType w:val="hybridMultilevel"/>
    <w:tmpl w:val="E7AEB4C8"/>
    <w:lvl w:ilvl="0" w:tplc="04090001">
      <w:start w:val="1"/>
      <w:numFmt w:val="bullet"/>
      <w:lvlText w:val=""/>
      <w:lvlJc w:val="left"/>
      <w:pPr>
        <w:ind w:left="720" w:hanging="360"/>
      </w:pPr>
      <w:rPr>
        <w:rFonts w:ascii="Symbol" w:hAnsi="Symbol" w:hint="default"/>
      </w:rPr>
    </w:lvl>
    <w:lvl w:ilvl="1" w:tplc="D3E814E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B1F9A"/>
    <w:multiLevelType w:val="hybridMultilevel"/>
    <w:tmpl w:val="FFE47542"/>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0121337"/>
    <w:multiLevelType w:val="hybridMultilevel"/>
    <w:tmpl w:val="B4B868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8672A49"/>
    <w:multiLevelType w:val="hybridMultilevel"/>
    <w:tmpl w:val="1196F742"/>
    <w:lvl w:ilvl="0" w:tplc="219E19C4">
      <w:start w:val="1"/>
      <w:numFmt w:val="decimal"/>
      <w:lvlText w:val="%1."/>
      <w:lvlJc w:val="left"/>
      <w:pPr>
        <w:ind w:left="720" w:hanging="360"/>
      </w:pPr>
      <w:rPr>
        <w:rFonts w:hint="default"/>
        <w:b/>
        <w:bCs/>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DD664F"/>
    <w:multiLevelType w:val="hybridMultilevel"/>
    <w:tmpl w:val="2794A256"/>
    <w:lvl w:ilvl="0" w:tplc="6E48296C">
      <w:start w:val="1"/>
      <w:numFmt w:val="bullet"/>
      <w:lvlText w:val=""/>
      <w:lvlJc w:val="left"/>
      <w:pPr>
        <w:ind w:left="786"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9C87D4A"/>
    <w:multiLevelType w:val="hybridMultilevel"/>
    <w:tmpl w:val="2F52A970"/>
    <w:lvl w:ilvl="0" w:tplc="9334C96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7"/>
  </w:num>
  <w:num w:numId="2">
    <w:abstractNumId w:val="5"/>
  </w:num>
  <w:num w:numId="3">
    <w:abstractNumId w:val="3"/>
  </w:num>
  <w:num w:numId="4">
    <w:abstractNumId w:val="6"/>
  </w:num>
  <w:num w:numId="5">
    <w:abstractNumId w:val="1"/>
  </w:num>
  <w:num w:numId="6">
    <w:abstractNumId w:val="2"/>
  </w:num>
  <w:num w:numId="7">
    <w:abstractNumId w:val="10"/>
  </w:num>
  <w:num w:numId="8">
    <w:abstractNumId w:val="0"/>
  </w:num>
  <w:num w:numId="9">
    <w:abstractNumId w:val="14"/>
  </w:num>
  <w:num w:numId="10">
    <w:abstractNumId w:val="16"/>
  </w:num>
  <w:num w:numId="11">
    <w:abstractNumId w:val="13"/>
  </w:num>
  <w:num w:numId="12">
    <w:abstractNumId w:val="15"/>
  </w:num>
  <w:num w:numId="13">
    <w:abstractNumId w:val="11"/>
  </w:num>
  <w:num w:numId="14">
    <w:abstractNumId w:val="4"/>
  </w:num>
  <w:num w:numId="15">
    <w:abstractNumId w:val="12"/>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rsids>
    <w:rsidRoot w:val="00207FDC"/>
    <w:rsid w:val="00011314"/>
    <w:rsid w:val="00011848"/>
    <w:rsid w:val="00015155"/>
    <w:rsid w:val="00021922"/>
    <w:rsid w:val="00023FC9"/>
    <w:rsid w:val="00027B09"/>
    <w:rsid w:val="00032110"/>
    <w:rsid w:val="0003535F"/>
    <w:rsid w:val="00036050"/>
    <w:rsid w:val="000373D6"/>
    <w:rsid w:val="00044EF2"/>
    <w:rsid w:val="0004550E"/>
    <w:rsid w:val="000555A5"/>
    <w:rsid w:val="00056E28"/>
    <w:rsid w:val="0006585A"/>
    <w:rsid w:val="00072FD9"/>
    <w:rsid w:val="00080D76"/>
    <w:rsid w:val="00082C39"/>
    <w:rsid w:val="00087544"/>
    <w:rsid w:val="00093CD6"/>
    <w:rsid w:val="000A6662"/>
    <w:rsid w:val="000B084F"/>
    <w:rsid w:val="000B27B1"/>
    <w:rsid w:val="000B6E5B"/>
    <w:rsid w:val="000C0394"/>
    <w:rsid w:val="000C74DC"/>
    <w:rsid w:val="000D0A20"/>
    <w:rsid w:val="000D386E"/>
    <w:rsid w:val="000D6729"/>
    <w:rsid w:val="000D7337"/>
    <w:rsid w:val="000E5019"/>
    <w:rsid w:val="000F055B"/>
    <w:rsid w:val="000F2974"/>
    <w:rsid w:val="000F40EE"/>
    <w:rsid w:val="00110616"/>
    <w:rsid w:val="001142E6"/>
    <w:rsid w:val="00123E11"/>
    <w:rsid w:val="00130119"/>
    <w:rsid w:val="00130AE5"/>
    <w:rsid w:val="001610C5"/>
    <w:rsid w:val="00162359"/>
    <w:rsid w:val="0016543F"/>
    <w:rsid w:val="00173F14"/>
    <w:rsid w:val="00174AB7"/>
    <w:rsid w:val="0017628A"/>
    <w:rsid w:val="00183D62"/>
    <w:rsid w:val="0018434D"/>
    <w:rsid w:val="00193860"/>
    <w:rsid w:val="00195827"/>
    <w:rsid w:val="001A78BF"/>
    <w:rsid w:val="001B489A"/>
    <w:rsid w:val="001B7CC3"/>
    <w:rsid w:val="001D0C3A"/>
    <w:rsid w:val="001D3110"/>
    <w:rsid w:val="001D592C"/>
    <w:rsid w:val="001E5A9B"/>
    <w:rsid w:val="001E727D"/>
    <w:rsid w:val="001F0BEB"/>
    <w:rsid w:val="001F17D8"/>
    <w:rsid w:val="00207FDC"/>
    <w:rsid w:val="00215DE5"/>
    <w:rsid w:val="00224158"/>
    <w:rsid w:val="00224D89"/>
    <w:rsid w:val="00227589"/>
    <w:rsid w:val="002307FF"/>
    <w:rsid w:val="00237990"/>
    <w:rsid w:val="00245C8A"/>
    <w:rsid w:val="00247C2E"/>
    <w:rsid w:val="00252905"/>
    <w:rsid w:val="002540BC"/>
    <w:rsid w:val="002559B2"/>
    <w:rsid w:val="0026770D"/>
    <w:rsid w:val="00270FFD"/>
    <w:rsid w:val="00273303"/>
    <w:rsid w:val="00283C75"/>
    <w:rsid w:val="002A3788"/>
    <w:rsid w:val="002A60CC"/>
    <w:rsid w:val="002B1AF1"/>
    <w:rsid w:val="002B24ED"/>
    <w:rsid w:val="002B33DD"/>
    <w:rsid w:val="002C0880"/>
    <w:rsid w:val="002C35B1"/>
    <w:rsid w:val="002C590F"/>
    <w:rsid w:val="002D57BD"/>
    <w:rsid w:val="002F1598"/>
    <w:rsid w:val="002F529E"/>
    <w:rsid w:val="002F6733"/>
    <w:rsid w:val="003028A6"/>
    <w:rsid w:val="00304AC6"/>
    <w:rsid w:val="00306BD8"/>
    <w:rsid w:val="00331CF5"/>
    <w:rsid w:val="00333A5D"/>
    <w:rsid w:val="00346844"/>
    <w:rsid w:val="00351059"/>
    <w:rsid w:val="0035728F"/>
    <w:rsid w:val="003617BA"/>
    <w:rsid w:val="003701DE"/>
    <w:rsid w:val="00377956"/>
    <w:rsid w:val="0039159E"/>
    <w:rsid w:val="00392DC9"/>
    <w:rsid w:val="00392EED"/>
    <w:rsid w:val="003A0A48"/>
    <w:rsid w:val="003A25BB"/>
    <w:rsid w:val="003A532E"/>
    <w:rsid w:val="003A58C7"/>
    <w:rsid w:val="003C56B4"/>
    <w:rsid w:val="003D75E4"/>
    <w:rsid w:val="003E2C95"/>
    <w:rsid w:val="00402EFA"/>
    <w:rsid w:val="00427852"/>
    <w:rsid w:val="004316CA"/>
    <w:rsid w:val="00453AD4"/>
    <w:rsid w:val="00455F3B"/>
    <w:rsid w:val="00466193"/>
    <w:rsid w:val="00474E7B"/>
    <w:rsid w:val="00477473"/>
    <w:rsid w:val="004778A6"/>
    <w:rsid w:val="00484058"/>
    <w:rsid w:val="00485000"/>
    <w:rsid w:val="00485CD7"/>
    <w:rsid w:val="004A1DE8"/>
    <w:rsid w:val="004B4599"/>
    <w:rsid w:val="004B48C9"/>
    <w:rsid w:val="004C2B53"/>
    <w:rsid w:val="004C2C2F"/>
    <w:rsid w:val="004D5E40"/>
    <w:rsid w:val="004D7864"/>
    <w:rsid w:val="004D7DF9"/>
    <w:rsid w:val="004E5D7B"/>
    <w:rsid w:val="004F2EB9"/>
    <w:rsid w:val="004F4D1F"/>
    <w:rsid w:val="00517221"/>
    <w:rsid w:val="00530DF8"/>
    <w:rsid w:val="005317EC"/>
    <w:rsid w:val="00533BDB"/>
    <w:rsid w:val="00535314"/>
    <w:rsid w:val="00536D87"/>
    <w:rsid w:val="005415C7"/>
    <w:rsid w:val="00541C65"/>
    <w:rsid w:val="00553E2D"/>
    <w:rsid w:val="00564071"/>
    <w:rsid w:val="00565A2F"/>
    <w:rsid w:val="00567686"/>
    <w:rsid w:val="00574A1F"/>
    <w:rsid w:val="00574B10"/>
    <w:rsid w:val="0058317A"/>
    <w:rsid w:val="0058749D"/>
    <w:rsid w:val="005A70D3"/>
    <w:rsid w:val="005B17E5"/>
    <w:rsid w:val="005B1C35"/>
    <w:rsid w:val="005B3E63"/>
    <w:rsid w:val="005C4C88"/>
    <w:rsid w:val="005C5162"/>
    <w:rsid w:val="005C5EB4"/>
    <w:rsid w:val="005C7D13"/>
    <w:rsid w:val="005D04E5"/>
    <w:rsid w:val="005D687F"/>
    <w:rsid w:val="005E1371"/>
    <w:rsid w:val="005E216C"/>
    <w:rsid w:val="005E2BC8"/>
    <w:rsid w:val="005E58D5"/>
    <w:rsid w:val="005F0F5A"/>
    <w:rsid w:val="005F2BA9"/>
    <w:rsid w:val="005F418C"/>
    <w:rsid w:val="005F604F"/>
    <w:rsid w:val="005F693F"/>
    <w:rsid w:val="005F7FAA"/>
    <w:rsid w:val="00600B86"/>
    <w:rsid w:val="00604D6E"/>
    <w:rsid w:val="00613EAC"/>
    <w:rsid w:val="0062125F"/>
    <w:rsid w:val="006321CE"/>
    <w:rsid w:val="0063301E"/>
    <w:rsid w:val="00634EB3"/>
    <w:rsid w:val="00637049"/>
    <w:rsid w:val="006420AA"/>
    <w:rsid w:val="00650A58"/>
    <w:rsid w:val="00651169"/>
    <w:rsid w:val="006615AC"/>
    <w:rsid w:val="006621C7"/>
    <w:rsid w:val="00662945"/>
    <w:rsid w:val="006808B0"/>
    <w:rsid w:val="0068196F"/>
    <w:rsid w:val="00685912"/>
    <w:rsid w:val="006871C5"/>
    <w:rsid w:val="00691D65"/>
    <w:rsid w:val="00693B19"/>
    <w:rsid w:val="006B4A25"/>
    <w:rsid w:val="006C0789"/>
    <w:rsid w:val="006C1CDB"/>
    <w:rsid w:val="006C708D"/>
    <w:rsid w:val="006D4336"/>
    <w:rsid w:val="006F0B78"/>
    <w:rsid w:val="006F1A88"/>
    <w:rsid w:val="006F57C9"/>
    <w:rsid w:val="006F600E"/>
    <w:rsid w:val="00710EC6"/>
    <w:rsid w:val="00717896"/>
    <w:rsid w:val="00721A6C"/>
    <w:rsid w:val="007244BA"/>
    <w:rsid w:val="00727E85"/>
    <w:rsid w:val="00732E8F"/>
    <w:rsid w:val="007377E0"/>
    <w:rsid w:val="00742C05"/>
    <w:rsid w:val="00743073"/>
    <w:rsid w:val="00743B6B"/>
    <w:rsid w:val="00745F43"/>
    <w:rsid w:val="00746A3B"/>
    <w:rsid w:val="00785234"/>
    <w:rsid w:val="0078675C"/>
    <w:rsid w:val="007877F0"/>
    <w:rsid w:val="00791C4E"/>
    <w:rsid w:val="007A1F47"/>
    <w:rsid w:val="007A2063"/>
    <w:rsid w:val="007A7565"/>
    <w:rsid w:val="007C2894"/>
    <w:rsid w:val="007C2F2B"/>
    <w:rsid w:val="007C6ABD"/>
    <w:rsid w:val="007D0A98"/>
    <w:rsid w:val="007E1AC7"/>
    <w:rsid w:val="007E46A8"/>
    <w:rsid w:val="007E740B"/>
    <w:rsid w:val="007F0621"/>
    <w:rsid w:val="007F3AFF"/>
    <w:rsid w:val="007F4477"/>
    <w:rsid w:val="00800556"/>
    <w:rsid w:val="008126B4"/>
    <w:rsid w:val="008161EB"/>
    <w:rsid w:val="008177C1"/>
    <w:rsid w:val="00817FEC"/>
    <w:rsid w:val="00821C4A"/>
    <w:rsid w:val="00824661"/>
    <w:rsid w:val="00832236"/>
    <w:rsid w:val="008329F2"/>
    <w:rsid w:val="00842633"/>
    <w:rsid w:val="00851653"/>
    <w:rsid w:val="00854F40"/>
    <w:rsid w:val="00862846"/>
    <w:rsid w:val="00870A4C"/>
    <w:rsid w:val="008721D1"/>
    <w:rsid w:val="00883EC8"/>
    <w:rsid w:val="00885F17"/>
    <w:rsid w:val="00887538"/>
    <w:rsid w:val="0089362E"/>
    <w:rsid w:val="00894475"/>
    <w:rsid w:val="0089701D"/>
    <w:rsid w:val="008A7951"/>
    <w:rsid w:val="008B0E0B"/>
    <w:rsid w:val="008B1237"/>
    <w:rsid w:val="008B24AC"/>
    <w:rsid w:val="008C237D"/>
    <w:rsid w:val="008C2381"/>
    <w:rsid w:val="008C45CD"/>
    <w:rsid w:val="008C7086"/>
    <w:rsid w:val="008D250B"/>
    <w:rsid w:val="008D4230"/>
    <w:rsid w:val="008D55CD"/>
    <w:rsid w:val="008E0CC2"/>
    <w:rsid w:val="008E4B73"/>
    <w:rsid w:val="009046CC"/>
    <w:rsid w:val="009132EF"/>
    <w:rsid w:val="009166FE"/>
    <w:rsid w:val="009225D2"/>
    <w:rsid w:val="0094066F"/>
    <w:rsid w:val="00943C68"/>
    <w:rsid w:val="00952940"/>
    <w:rsid w:val="009729C0"/>
    <w:rsid w:val="0097336C"/>
    <w:rsid w:val="00976C78"/>
    <w:rsid w:val="00977969"/>
    <w:rsid w:val="0098093D"/>
    <w:rsid w:val="00986CFB"/>
    <w:rsid w:val="00990080"/>
    <w:rsid w:val="009977F5"/>
    <w:rsid w:val="009B1E06"/>
    <w:rsid w:val="009B2F0D"/>
    <w:rsid w:val="009B514A"/>
    <w:rsid w:val="009C0A53"/>
    <w:rsid w:val="009C7CC5"/>
    <w:rsid w:val="009D23DF"/>
    <w:rsid w:val="009D29C5"/>
    <w:rsid w:val="009D347B"/>
    <w:rsid w:val="009D68C6"/>
    <w:rsid w:val="009E66E4"/>
    <w:rsid w:val="009F13AC"/>
    <w:rsid w:val="009F412B"/>
    <w:rsid w:val="009F41B9"/>
    <w:rsid w:val="009F71C9"/>
    <w:rsid w:val="009F76E1"/>
    <w:rsid w:val="00A0058A"/>
    <w:rsid w:val="00A05AB1"/>
    <w:rsid w:val="00A13422"/>
    <w:rsid w:val="00A13AF5"/>
    <w:rsid w:val="00A13CDA"/>
    <w:rsid w:val="00A13E0C"/>
    <w:rsid w:val="00A14584"/>
    <w:rsid w:val="00A16ECC"/>
    <w:rsid w:val="00A248AC"/>
    <w:rsid w:val="00A3176C"/>
    <w:rsid w:val="00A32754"/>
    <w:rsid w:val="00A4640A"/>
    <w:rsid w:val="00A46621"/>
    <w:rsid w:val="00A524AA"/>
    <w:rsid w:val="00A533F6"/>
    <w:rsid w:val="00A56F2C"/>
    <w:rsid w:val="00A5789C"/>
    <w:rsid w:val="00A63B5B"/>
    <w:rsid w:val="00A71D6C"/>
    <w:rsid w:val="00A82AE3"/>
    <w:rsid w:val="00A86483"/>
    <w:rsid w:val="00A86550"/>
    <w:rsid w:val="00AA09BE"/>
    <w:rsid w:val="00AA0A5C"/>
    <w:rsid w:val="00AA55A7"/>
    <w:rsid w:val="00AB1505"/>
    <w:rsid w:val="00AC1E3C"/>
    <w:rsid w:val="00AC5ABA"/>
    <w:rsid w:val="00AD4AF6"/>
    <w:rsid w:val="00AD5652"/>
    <w:rsid w:val="00AD5792"/>
    <w:rsid w:val="00AE053B"/>
    <w:rsid w:val="00AE43DA"/>
    <w:rsid w:val="00AE6929"/>
    <w:rsid w:val="00AE7829"/>
    <w:rsid w:val="00AE7B04"/>
    <w:rsid w:val="00AF1264"/>
    <w:rsid w:val="00B02FFC"/>
    <w:rsid w:val="00B056AE"/>
    <w:rsid w:val="00B069D9"/>
    <w:rsid w:val="00B076C0"/>
    <w:rsid w:val="00B10211"/>
    <w:rsid w:val="00B11005"/>
    <w:rsid w:val="00B11E93"/>
    <w:rsid w:val="00B1319E"/>
    <w:rsid w:val="00B250AA"/>
    <w:rsid w:val="00B269EF"/>
    <w:rsid w:val="00B36030"/>
    <w:rsid w:val="00B36F2C"/>
    <w:rsid w:val="00B43B1C"/>
    <w:rsid w:val="00B53931"/>
    <w:rsid w:val="00B57125"/>
    <w:rsid w:val="00B637B7"/>
    <w:rsid w:val="00B770A4"/>
    <w:rsid w:val="00B806A1"/>
    <w:rsid w:val="00B93291"/>
    <w:rsid w:val="00BA45E0"/>
    <w:rsid w:val="00BB3BDD"/>
    <w:rsid w:val="00BC1112"/>
    <w:rsid w:val="00BC1132"/>
    <w:rsid w:val="00BC3B9E"/>
    <w:rsid w:val="00BC3FE3"/>
    <w:rsid w:val="00BD5B71"/>
    <w:rsid w:val="00BE516B"/>
    <w:rsid w:val="00BF4E70"/>
    <w:rsid w:val="00BF6A1A"/>
    <w:rsid w:val="00BF736E"/>
    <w:rsid w:val="00C113D2"/>
    <w:rsid w:val="00C154E2"/>
    <w:rsid w:val="00C16AA3"/>
    <w:rsid w:val="00C30FF4"/>
    <w:rsid w:val="00C31E88"/>
    <w:rsid w:val="00C425D4"/>
    <w:rsid w:val="00C47CEB"/>
    <w:rsid w:val="00C5612E"/>
    <w:rsid w:val="00C566F5"/>
    <w:rsid w:val="00C63DD1"/>
    <w:rsid w:val="00C77E5B"/>
    <w:rsid w:val="00C839A6"/>
    <w:rsid w:val="00C841E5"/>
    <w:rsid w:val="00C9118B"/>
    <w:rsid w:val="00C95346"/>
    <w:rsid w:val="00C97F44"/>
    <w:rsid w:val="00CA0BE5"/>
    <w:rsid w:val="00CA1EA5"/>
    <w:rsid w:val="00CA5ECE"/>
    <w:rsid w:val="00CA6656"/>
    <w:rsid w:val="00CB6A5C"/>
    <w:rsid w:val="00CD299F"/>
    <w:rsid w:val="00CE607B"/>
    <w:rsid w:val="00CF75F6"/>
    <w:rsid w:val="00D02474"/>
    <w:rsid w:val="00D025E2"/>
    <w:rsid w:val="00D05050"/>
    <w:rsid w:val="00D1352B"/>
    <w:rsid w:val="00D176A6"/>
    <w:rsid w:val="00D24BB3"/>
    <w:rsid w:val="00D276CC"/>
    <w:rsid w:val="00D31C73"/>
    <w:rsid w:val="00D332A3"/>
    <w:rsid w:val="00D36E64"/>
    <w:rsid w:val="00D41220"/>
    <w:rsid w:val="00D42C8F"/>
    <w:rsid w:val="00D47B6D"/>
    <w:rsid w:val="00D50DFB"/>
    <w:rsid w:val="00D51AAF"/>
    <w:rsid w:val="00D54D90"/>
    <w:rsid w:val="00D616D1"/>
    <w:rsid w:val="00D66926"/>
    <w:rsid w:val="00D746BD"/>
    <w:rsid w:val="00D848EF"/>
    <w:rsid w:val="00D930D8"/>
    <w:rsid w:val="00D943FD"/>
    <w:rsid w:val="00D9470A"/>
    <w:rsid w:val="00D94CF0"/>
    <w:rsid w:val="00DA2DD0"/>
    <w:rsid w:val="00DD223B"/>
    <w:rsid w:val="00DE17A7"/>
    <w:rsid w:val="00DE2017"/>
    <w:rsid w:val="00DE6CEE"/>
    <w:rsid w:val="00DF2161"/>
    <w:rsid w:val="00DF6302"/>
    <w:rsid w:val="00E00988"/>
    <w:rsid w:val="00E02905"/>
    <w:rsid w:val="00E06F3B"/>
    <w:rsid w:val="00E114F5"/>
    <w:rsid w:val="00E11E98"/>
    <w:rsid w:val="00E12AE1"/>
    <w:rsid w:val="00E1737B"/>
    <w:rsid w:val="00E17CA0"/>
    <w:rsid w:val="00E21F24"/>
    <w:rsid w:val="00E36C68"/>
    <w:rsid w:val="00E42FB1"/>
    <w:rsid w:val="00E43D0C"/>
    <w:rsid w:val="00E502D5"/>
    <w:rsid w:val="00E55348"/>
    <w:rsid w:val="00E7180F"/>
    <w:rsid w:val="00E804C4"/>
    <w:rsid w:val="00E81DDB"/>
    <w:rsid w:val="00E82102"/>
    <w:rsid w:val="00E82962"/>
    <w:rsid w:val="00E8306D"/>
    <w:rsid w:val="00E94FF9"/>
    <w:rsid w:val="00EA048B"/>
    <w:rsid w:val="00EA095B"/>
    <w:rsid w:val="00EA15A9"/>
    <w:rsid w:val="00EA5CE9"/>
    <w:rsid w:val="00EB07AD"/>
    <w:rsid w:val="00EB7C7C"/>
    <w:rsid w:val="00EC4AED"/>
    <w:rsid w:val="00EC4C7C"/>
    <w:rsid w:val="00ED36B5"/>
    <w:rsid w:val="00EF25BF"/>
    <w:rsid w:val="00EF4B9A"/>
    <w:rsid w:val="00EF5704"/>
    <w:rsid w:val="00F02AFB"/>
    <w:rsid w:val="00F03C91"/>
    <w:rsid w:val="00F03F67"/>
    <w:rsid w:val="00F1517F"/>
    <w:rsid w:val="00F22CA4"/>
    <w:rsid w:val="00F3073A"/>
    <w:rsid w:val="00F40917"/>
    <w:rsid w:val="00F57986"/>
    <w:rsid w:val="00F76334"/>
    <w:rsid w:val="00F81B24"/>
    <w:rsid w:val="00FA5D46"/>
    <w:rsid w:val="00FB2E38"/>
    <w:rsid w:val="00FB3119"/>
    <w:rsid w:val="00FB6CD9"/>
    <w:rsid w:val="00FC1502"/>
    <w:rsid w:val="00FF0E46"/>
    <w:rsid w:val="00FF289A"/>
    <w:rsid w:val="00FF36AC"/>
    <w:rsid w:val="00FF3895"/>
    <w:rsid w:val="00FF75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1EA5"/>
    <w:pPr>
      <w:spacing w:after="0" w:line="240" w:lineRule="auto"/>
    </w:pPr>
    <w:rPr>
      <w:rFonts w:ascii="Times New Roman" w:eastAsia="Times New Roman" w:hAnsi="Times New Roman" w:cs="Times New Roman"/>
      <w:sz w:val="24"/>
      <w:szCs w:val="24"/>
      <w:lang w:val="pl-PL" w:eastAsia="pl-PL"/>
    </w:rPr>
  </w:style>
  <w:style w:type="paragraph" w:styleId="Nagwek1">
    <w:name w:val="heading 1"/>
    <w:basedOn w:val="Normalny"/>
    <w:link w:val="Nagwek1Znak"/>
    <w:uiPriority w:val="9"/>
    <w:qFormat/>
    <w:rsid w:val="008C2381"/>
    <w:pPr>
      <w:widowControl w:val="0"/>
      <w:autoSpaceDE w:val="0"/>
      <w:autoSpaceDN w:val="0"/>
      <w:spacing w:before="51"/>
      <w:ind w:left="818" w:hanging="423"/>
      <w:outlineLvl w:val="0"/>
    </w:pPr>
    <w:rPr>
      <w:rFonts w:ascii="Calibri" w:eastAsia="Calibri" w:hAnsi="Calibri"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207FDC"/>
    <w:rPr>
      <w:b/>
      <w:bCs/>
      <w:sz w:val="20"/>
      <w:szCs w:val="20"/>
    </w:rPr>
  </w:style>
  <w:style w:type="character" w:styleId="Hipercze">
    <w:name w:val="Hyperlink"/>
    <w:basedOn w:val="Domylnaczcionkaakapitu"/>
    <w:rsid w:val="00207FDC"/>
    <w:rPr>
      <w:color w:val="0000FF"/>
      <w:u w:val="single"/>
    </w:rPr>
  </w:style>
  <w:style w:type="paragraph" w:styleId="Nagwek">
    <w:name w:val="header"/>
    <w:basedOn w:val="Normalny"/>
    <w:link w:val="NagwekZnak"/>
    <w:uiPriority w:val="99"/>
    <w:unhideWhenUsed/>
    <w:rsid w:val="00CD299F"/>
    <w:pPr>
      <w:tabs>
        <w:tab w:val="center" w:pos="4680"/>
        <w:tab w:val="right" w:pos="9360"/>
      </w:tabs>
    </w:pPr>
  </w:style>
  <w:style w:type="character" w:customStyle="1" w:styleId="NagwekZnak">
    <w:name w:val="Nagłówek Znak"/>
    <w:basedOn w:val="Domylnaczcionkaakapitu"/>
    <w:link w:val="Nagwek"/>
    <w:uiPriority w:val="99"/>
    <w:rsid w:val="00CD299F"/>
    <w:rPr>
      <w:rFonts w:ascii="Times New Roman" w:eastAsia="Times New Roman" w:hAnsi="Times New Roman" w:cs="Times New Roman"/>
      <w:sz w:val="24"/>
      <w:szCs w:val="24"/>
      <w:lang w:val="pl-PL" w:eastAsia="pl-PL"/>
    </w:rPr>
  </w:style>
  <w:style w:type="paragraph" w:styleId="Stopka">
    <w:name w:val="footer"/>
    <w:basedOn w:val="Normalny"/>
    <w:link w:val="StopkaZnak"/>
    <w:uiPriority w:val="99"/>
    <w:unhideWhenUsed/>
    <w:rsid w:val="00CD299F"/>
    <w:pPr>
      <w:tabs>
        <w:tab w:val="center" w:pos="4680"/>
        <w:tab w:val="right" w:pos="9360"/>
      </w:tabs>
    </w:pPr>
  </w:style>
  <w:style w:type="character" w:customStyle="1" w:styleId="StopkaZnak">
    <w:name w:val="Stopka Znak"/>
    <w:basedOn w:val="Domylnaczcionkaakapitu"/>
    <w:link w:val="Stopka"/>
    <w:uiPriority w:val="99"/>
    <w:rsid w:val="00CD299F"/>
    <w:rPr>
      <w:rFonts w:ascii="Times New Roman" w:eastAsia="Times New Roman" w:hAnsi="Times New Roman" w:cs="Times New Roman"/>
      <w:sz w:val="24"/>
      <w:szCs w:val="24"/>
      <w:lang w:val="pl-PL" w:eastAsia="pl-PL"/>
    </w:rPr>
  </w:style>
  <w:style w:type="character" w:styleId="Odwoaniedokomentarza">
    <w:name w:val="annotation reference"/>
    <w:basedOn w:val="Domylnaczcionkaakapitu"/>
    <w:uiPriority w:val="99"/>
    <w:semiHidden/>
    <w:unhideWhenUsed/>
    <w:rsid w:val="007E1AC7"/>
    <w:rPr>
      <w:sz w:val="16"/>
      <w:szCs w:val="16"/>
    </w:rPr>
  </w:style>
  <w:style w:type="paragraph" w:styleId="Tekstkomentarza">
    <w:name w:val="annotation text"/>
    <w:basedOn w:val="Normalny"/>
    <w:link w:val="TekstkomentarzaZnak"/>
    <w:uiPriority w:val="99"/>
    <w:semiHidden/>
    <w:unhideWhenUsed/>
    <w:rsid w:val="007E1AC7"/>
    <w:rPr>
      <w:sz w:val="20"/>
      <w:szCs w:val="20"/>
    </w:rPr>
  </w:style>
  <w:style w:type="character" w:customStyle="1" w:styleId="TekstkomentarzaZnak">
    <w:name w:val="Tekst komentarza Znak"/>
    <w:basedOn w:val="Domylnaczcionkaakapitu"/>
    <w:link w:val="Tekstkomentarza"/>
    <w:uiPriority w:val="99"/>
    <w:semiHidden/>
    <w:rsid w:val="007E1AC7"/>
    <w:rPr>
      <w:rFonts w:ascii="Times New Roman" w:eastAsia="Times New Roman" w:hAnsi="Times New Roman"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7E1AC7"/>
    <w:rPr>
      <w:b/>
      <w:bCs/>
    </w:rPr>
  </w:style>
  <w:style w:type="character" w:customStyle="1" w:styleId="TematkomentarzaZnak">
    <w:name w:val="Temat komentarza Znak"/>
    <w:basedOn w:val="TekstkomentarzaZnak"/>
    <w:link w:val="Tematkomentarza"/>
    <w:uiPriority w:val="99"/>
    <w:semiHidden/>
    <w:rsid w:val="007E1AC7"/>
    <w:rPr>
      <w:rFonts w:ascii="Times New Roman" w:eastAsia="Times New Roman" w:hAnsi="Times New Roman" w:cs="Times New Roman"/>
      <w:b/>
      <w:bCs/>
      <w:sz w:val="20"/>
      <w:szCs w:val="20"/>
      <w:lang w:val="pl-PL" w:eastAsia="pl-PL"/>
    </w:rPr>
  </w:style>
  <w:style w:type="paragraph" w:styleId="Tekstdymka">
    <w:name w:val="Balloon Text"/>
    <w:basedOn w:val="Normalny"/>
    <w:link w:val="TekstdymkaZnak"/>
    <w:uiPriority w:val="99"/>
    <w:semiHidden/>
    <w:unhideWhenUsed/>
    <w:rsid w:val="007E1AC7"/>
    <w:rPr>
      <w:rFonts w:ascii="Tahoma" w:hAnsi="Tahoma" w:cs="Tahoma"/>
      <w:sz w:val="16"/>
      <w:szCs w:val="16"/>
    </w:rPr>
  </w:style>
  <w:style w:type="character" w:customStyle="1" w:styleId="TekstdymkaZnak">
    <w:name w:val="Tekst dymka Znak"/>
    <w:basedOn w:val="Domylnaczcionkaakapitu"/>
    <w:link w:val="Tekstdymka"/>
    <w:uiPriority w:val="99"/>
    <w:semiHidden/>
    <w:rsid w:val="007E1AC7"/>
    <w:rPr>
      <w:rFonts w:ascii="Tahoma" w:eastAsia="Times New Roman" w:hAnsi="Tahoma" w:cs="Tahoma"/>
      <w:sz w:val="16"/>
      <w:szCs w:val="16"/>
      <w:lang w:val="pl-PL" w:eastAsia="pl-PL"/>
    </w:rPr>
  </w:style>
  <w:style w:type="paragraph" w:styleId="NormalnyWeb">
    <w:name w:val="Normal (Web)"/>
    <w:basedOn w:val="Normalny"/>
    <w:uiPriority w:val="99"/>
    <w:semiHidden/>
    <w:unhideWhenUsed/>
    <w:rsid w:val="00FB3119"/>
    <w:pPr>
      <w:spacing w:before="100" w:beforeAutospacing="1" w:after="100" w:afterAutospacing="1"/>
    </w:pPr>
    <w:rPr>
      <w:lang w:val="en-US" w:eastAsia="zh-CN"/>
    </w:rPr>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1"/>
    <w:qFormat/>
    <w:rsid w:val="00BC3B9E"/>
    <w:pPr>
      <w:ind w:left="720"/>
      <w:contextualSpacing/>
    </w:pPr>
  </w:style>
  <w:style w:type="paragraph" w:customStyle="1" w:styleId="metrykatabelanaglowek">
    <w:name w:val="metryka_tabela_naglowek"/>
    <w:basedOn w:val="Normalny"/>
    <w:autoRedefine/>
    <w:qFormat/>
    <w:rsid w:val="00AA0A5C"/>
    <w:pPr>
      <w:spacing w:line="276" w:lineRule="auto"/>
    </w:pPr>
    <w:rPr>
      <w:rFonts w:asciiTheme="minorHAnsi" w:hAnsiTheme="minorHAnsi"/>
      <w:noProof/>
      <w:sz w:val="20"/>
    </w:rPr>
  </w:style>
  <w:style w:type="paragraph" w:styleId="Tekstprzypisukocowego">
    <w:name w:val="endnote text"/>
    <w:basedOn w:val="Normalny"/>
    <w:link w:val="TekstprzypisukocowegoZnak"/>
    <w:uiPriority w:val="99"/>
    <w:semiHidden/>
    <w:unhideWhenUsed/>
    <w:rsid w:val="00743073"/>
    <w:rPr>
      <w:sz w:val="20"/>
      <w:szCs w:val="20"/>
    </w:rPr>
  </w:style>
  <w:style w:type="character" w:customStyle="1" w:styleId="TekstprzypisukocowegoZnak">
    <w:name w:val="Tekst przypisu końcowego Znak"/>
    <w:basedOn w:val="Domylnaczcionkaakapitu"/>
    <w:link w:val="Tekstprzypisukocowego"/>
    <w:uiPriority w:val="99"/>
    <w:semiHidden/>
    <w:rsid w:val="00743073"/>
    <w:rPr>
      <w:rFonts w:ascii="Times New Roman" w:eastAsia="Times New Roman" w:hAnsi="Times New Roman" w:cs="Times New Roman"/>
      <w:sz w:val="20"/>
      <w:szCs w:val="20"/>
      <w:lang w:val="pl-PL" w:eastAsia="pl-PL"/>
    </w:rPr>
  </w:style>
  <w:style w:type="character" w:styleId="Odwoanieprzypisukocowego">
    <w:name w:val="endnote reference"/>
    <w:basedOn w:val="Domylnaczcionkaakapitu"/>
    <w:uiPriority w:val="99"/>
    <w:semiHidden/>
    <w:unhideWhenUsed/>
    <w:rsid w:val="00743073"/>
    <w:rPr>
      <w:vertAlign w:val="superscript"/>
    </w:r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basedOn w:val="Domylnaczcionkaakapitu"/>
    <w:link w:val="Akapitzlist"/>
    <w:uiPriority w:val="34"/>
    <w:qFormat/>
    <w:locked/>
    <w:rsid w:val="00B637B7"/>
    <w:rPr>
      <w:rFonts w:ascii="Times New Roman" w:eastAsia="Times New Roman" w:hAnsi="Times New Roman" w:cs="Times New Roman"/>
      <w:sz w:val="24"/>
      <w:szCs w:val="24"/>
      <w:lang w:val="pl-PL" w:eastAsia="pl-PL"/>
    </w:rPr>
  </w:style>
  <w:style w:type="table" w:styleId="Tabela-Siatka">
    <w:name w:val="Table Grid"/>
    <w:basedOn w:val="Standardowy"/>
    <w:uiPriority w:val="39"/>
    <w:rsid w:val="00B637B7"/>
    <w:pPr>
      <w:spacing w:after="0" w:line="240" w:lineRule="auto"/>
    </w:pPr>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pozycja">
    <w:name w:val="Tabela pozycja"/>
    <w:basedOn w:val="Normalny"/>
    <w:rsid w:val="00574A1F"/>
    <w:rPr>
      <w:rFonts w:ascii="Arial" w:eastAsia="MS Outlook" w:hAnsi="Arial"/>
      <w:sz w:val="22"/>
      <w:szCs w:val="20"/>
    </w:rPr>
  </w:style>
  <w:style w:type="paragraph" w:styleId="Tekstpodstawowy">
    <w:name w:val="Body Text"/>
    <w:basedOn w:val="Normalny"/>
    <w:link w:val="TekstpodstawowyZnak"/>
    <w:rsid w:val="00B11005"/>
    <w:pPr>
      <w:jc w:val="both"/>
    </w:pPr>
    <w:rPr>
      <w:rFonts w:ascii="Arial Narrow" w:hAnsi="Arial Narrow"/>
      <w:sz w:val="22"/>
      <w:szCs w:val="20"/>
    </w:rPr>
  </w:style>
  <w:style w:type="character" w:customStyle="1" w:styleId="TekstpodstawowyZnak">
    <w:name w:val="Tekst podstawowy Znak"/>
    <w:basedOn w:val="Domylnaczcionkaakapitu"/>
    <w:link w:val="Tekstpodstawowy"/>
    <w:rsid w:val="00B11005"/>
    <w:rPr>
      <w:rFonts w:ascii="Arial Narrow" w:eastAsia="Times New Roman" w:hAnsi="Arial Narrow" w:cs="Times New Roman"/>
      <w:szCs w:val="20"/>
      <w:lang w:val="pl-PL" w:eastAsia="pl-PL"/>
    </w:rPr>
  </w:style>
  <w:style w:type="character" w:customStyle="1" w:styleId="Nagwek1Znak">
    <w:name w:val="Nagłówek 1 Znak"/>
    <w:basedOn w:val="Domylnaczcionkaakapitu"/>
    <w:link w:val="Nagwek1"/>
    <w:uiPriority w:val="9"/>
    <w:rsid w:val="008C2381"/>
    <w:rPr>
      <w:rFonts w:ascii="Calibri" w:eastAsia="Calibri" w:hAnsi="Calibri" w:cs="Calibri"/>
      <w:lang w:val="pl-PL"/>
    </w:rPr>
  </w:style>
  <w:style w:type="paragraph" w:customStyle="1" w:styleId="gmail-standard">
    <w:name w:val="gmail-standard"/>
    <w:basedOn w:val="Normalny"/>
    <w:rsid w:val="008C2381"/>
    <w:pPr>
      <w:spacing w:before="100" w:beforeAutospacing="1" w:after="100" w:afterAutospacing="1"/>
    </w:pPr>
  </w:style>
  <w:style w:type="paragraph" w:customStyle="1" w:styleId="gmail-msolistparagraph">
    <w:name w:val="gmail-msolistparagraph"/>
    <w:basedOn w:val="Normalny"/>
    <w:rsid w:val="008C2381"/>
    <w:pPr>
      <w:spacing w:before="100" w:beforeAutospacing="1" w:after="100" w:afterAutospacing="1"/>
    </w:pPr>
  </w:style>
  <w:style w:type="character" w:customStyle="1" w:styleId="gmail-apple-converted-space">
    <w:name w:val="gmail-apple-converted-space"/>
    <w:basedOn w:val="Domylnaczcionkaakapitu"/>
    <w:rsid w:val="008C2381"/>
  </w:style>
</w:styles>
</file>

<file path=word/webSettings.xml><?xml version="1.0" encoding="utf-8"?>
<w:webSettings xmlns:r="http://schemas.openxmlformats.org/officeDocument/2006/relationships" xmlns:w="http://schemas.openxmlformats.org/wordprocessingml/2006/main">
  <w:divs>
    <w:div w:id="452409376">
      <w:bodyDiv w:val="1"/>
      <w:marLeft w:val="0"/>
      <w:marRight w:val="0"/>
      <w:marTop w:val="0"/>
      <w:marBottom w:val="0"/>
      <w:divBdr>
        <w:top w:val="none" w:sz="0" w:space="0" w:color="auto"/>
        <w:left w:val="none" w:sz="0" w:space="0" w:color="auto"/>
        <w:bottom w:val="none" w:sz="0" w:space="0" w:color="auto"/>
        <w:right w:val="none" w:sz="0" w:space="0" w:color="auto"/>
      </w:divBdr>
    </w:div>
    <w:div w:id="595750326">
      <w:bodyDiv w:val="1"/>
      <w:marLeft w:val="0"/>
      <w:marRight w:val="0"/>
      <w:marTop w:val="0"/>
      <w:marBottom w:val="0"/>
      <w:divBdr>
        <w:top w:val="none" w:sz="0" w:space="0" w:color="auto"/>
        <w:left w:val="none" w:sz="0" w:space="0" w:color="auto"/>
        <w:bottom w:val="none" w:sz="0" w:space="0" w:color="auto"/>
        <w:right w:val="none" w:sz="0" w:space="0" w:color="auto"/>
      </w:divBdr>
    </w:div>
    <w:div w:id="1045254885">
      <w:bodyDiv w:val="1"/>
      <w:marLeft w:val="0"/>
      <w:marRight w:val="0"/>
      <w:marTop w:val="0"/>
      <w:marBottom w:val="0"/>
      <w:divBdr>
        <w:top w:val="none" w:sz="0" w:space="0" w:color="auto"/>
        <w:left w:val="none" w:sz="0" w:space="0" w:color="auto"/>
        <w:bottom w:val="none" w:sz="0" w:space="0" w:color="auto"/>
        <w:right w:val="none" w:sz="0" w:space="0" w:color="auto"/>
      </w:divBdr>
    </w:div>
    <w:div w:id="1254557648">
      <w:bodyDiv w:val="1"/>
      <w:marLeft w:val="0"/>
      <w:marRight w:val="0"/>
      <w:marTop w:val="0"/>
      <w:marBottom w:val="0"/>
      <w:divBdr>
        <w:top w:val="none" w:sz="0" w:space="0" w:color="auto"/>
        <w:left w:val="none" w:sz="0" w:space="0" w:color="auto"/>
        <w:bottom w:val="none" w:sz="0" w:space="0" w:color="auto"/>
        <w:right w:val="none" w:sz="0" w:space="0" w:color="auto"/>
      </w:divBdr>
    </w:div>
    <w:div w:id="1256868382">
      <w:bodyDiv w:val="1"/>
      <w:marLeft w:val="0"/>
      <w:marRight w:val="0"/>
      <w:marTop w:val="0"/>
      <w:marBottom w:val="0"/>
      <w:divBdr>
        <w:top w:val="none" w:sz="0" w:space="0" w:color="auto"/>
        <w:left w:val="none" w:sz="0" w:space="0" w:color="auto"/>
        <w:bottom w:val="none" w:sz="0" w:space="0" w:color="auto"/>
        <w:right w:val="none" w:sz="0" w:space="0" w:color="auto"/>
      </w:divBdr>
      <w:divsChild>
        <w:div w:id="2016609409">
          <w:marLeft w:val="0"/>
          <w:marRight w:val="0"/>
          <w:marTop w:val="0"/>
          <w:marBottom w:val="0"/>
          <w:divBdr>
            <w:top w:val="none" w:sz="0" w:space="0" w:color="auto"/>
            <w:left w:val="none" w:sz="0" w:space="0" w:color="auto"/>
            <w:bottom w:val="none" w:sz="0" w:space="0" w:color="auto"/>
            <w:right w:val="none" w:sz="0" w:space="0" w:color="auto"/>
          </w:divBdr>
        </w:div>
      </w:divsChild>
    </w:div>
    <w:div w:id="1507475970">
      <w:bodyDiv w:val="1"/>
      <w:marLeft w:val="0"/>
      <w:marRight w:val="0"/>
      <w:marTop w:val="0"/>
      <w:marBottom w:val="0"/>
      <w:divBdr>
        <w:top w:val="none" w:sz="0" w:space="0" w:color="auto"/>
        <w:left w:val="none" w:sz="0" w:space="0" w:color="auto"/>
        <w:bottom w:val="none" w:sz="0" w:space="0" w:color="auto"/>
        <w:right w:val="none" w:sz="0" w:space="0" w:color="auto"/>
      </w:divBdr>
      <w:divsChild>
        <w:div w:id="458497816">
          <w:marLeft w:val="0"/>
          <w:marRight w:val="0"/>
          <w:marTop w:val="0"/>
          <w:marBottom w:val="0"/>
          <w:divBdr>
            <w:top w:val="none" w:sz="0" w:space="0" w:color="auto"/>
            <w:left w:val="none" w:sz="0" w:space="0" w:color="auto"/>
            <w:bottom w:val="none" w:sz="0" w:space="0" w:color="auto"/>
            <w:right w:val="none" w:sz="0" w:space="0" w:color="auto"/>
          </w:divBdr>
        </w:div>
      </w:divsChild>
    </w:div>
    <w:div w:id="18088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24F3-C615-4B6C-9558-E88E7ABE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5354</Words>
  <Characters>32129</Characters>
  <Application>Microsoft Office Word</Application>
  <DocSecurity>0</DocSecurity>
  <Lines>267</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37409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2023-09-21T10:49:00Z</dcterms:created>
  <dcterms:modified xsi:type="dcterms:W3CDTF">2023-09-21T10:49:00Z</dcterms:modified>
</cp:coreProperties>
</file>